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1B" w:rsidRPr="00005FDE" w:rsidRDefault="00C875AD" w:rsidP="00560E48">
      <w:pPr>
        <w:widowControl w:val="0"/>
        <w:autoSpaceDE w:val="0"/>
        <w:autoSpaceDN w:val="0"/>
        <w:adjustRightInd w:val="0"/>
        <w:spacing w:line="276" w:lineRule="auto"/>
        <w:rPr>
          <w:rFonts w:cstheme="minorHAnsi"/>
        </w:rPr>
      </w:pPr>
      <w:r>
        <w:rPr>
          <w:rFonts w:cstheme="minorHAnsi"/>
          <w:b/>
          <w:bCs/>
        </w:rPr>
        <w:t xml:space="preserve"> </w:t>
      </w:r>
      <w:r w:rsidR="0006481B" w:rsidRPr="00005FDE">
        <w:rPr>
          <w:rFonts w:cstheme="minorHAnsi"/>
          <w:b/>
          <w:bCs/>
        </w:rPr>
        <w:t>Załącznik nr</w:t>
      </w:r>
      <w:r w:rsidR="00837A99">
        <w:rPr>
          <w:rFonts w:cstheme="minorHAnsi"/>
          <w:b/>
          <w:bCs/>
        </w:rPr>
        <w:t xml:space="preserve"> 1 </w:t>
      </w:r>
      <w:bookmarkStart w:id="0" w:name="_GoBack"/>
      <w:bookmarkEnd w:id="0"/>
      <w:r w:rsidR="00837A99">
        <w:rPr>
          <w:rFonts w:cstheme="minorHAnsi"/>
          <w:b/>
          <w:bCs/>
        </w:rPr>
        <w:t>do SWZ</w:t>
      </w:r>
      <w:r w:rsidR="00560E48">
        <w:rPr>
          <w:rFonts w:cstheme="minorHAnsi"/>
          <w:b/>
          <w:bCs/>
        </w:rPr>
        <w:t xml:space="preserve"> nr </w:t>
      </w:r>
      <w:r w:rsidR="00560E48" w:rsidRPr="00611CF4">
        <w:rPr>
          <w:rFonts w:eastAsia="Times New Roman" w:cs="Calibri"/>
          <w:b/>
          <w:color w:val="000000"/>
          <w:lang w:eastAsia="pl-PL"/>
        </w:rPr>
        <w:t>DOA-ZP.272</w:t>
      </w:r>
      <w:r w:rsidR="00560E48">
        <w:rPr>
          <w:rFonts w:eastAsia="Times New Roman" w:cs="Calibri"/>
          <w:b/>
          <w:color w:val="000000"/>
          <w:lang w:eastAsia="pl-PL"/>
        </w:rPr>
        <w:t>.43.</w:t>
      </w:r>
      <w:r w:rsidR="00560E48" w:rsidRPr="00611CF4">
        <w:rPr>
          <w:rFonts w:eastAsia="Times New Roman" w:cs="Calibri"/>
          <w:b/>
          <w:color w:val="000000"/>
          <w:lang w:eastAsia="pl-PL"/>
        </w:rPr>
        <w:t>2022</w:t>
      </w:r>
    </w:p>
    <w:p w:rsidR="0006481B" w:rsidRPr="00005FDE" w:rsidRDefault="0006481B" w:rsidP="006068D9">
      <w:pPr>
        <w:pStyle w:val="Nagwek1"/>
        <w:spacing w:before="360" w:after="360" w:line="276" w:lineRule="auto"/>
        <w:jc w:val="left"/>
        <w:rPr>
          <w:sz w:val="24"/>
          <w:szCs w:val="24"/>
        </w:rPr>
      </w:pPr>
      <w:r w:rsidRPr="00005FDE">
        <w:rPr>
          <w:sz w:val="24"/>
          <w:szCs w:val="24"/>
        </w:rPr>
        <w:t xml:space="preserve">Opis przedmiotu zamówienia </w:t>
      </w:r>
    </w:p>
    <w:p w:rsidR="0006481B" w:rsidRPr="000A2FB3" w:rsidRDefault="0006481B" w:rsidP="006068D9">
      <w:pPr>
        <w:tabs>
          <w:tab w:val="num" w:pos="360"/>
        </w:tabs>
        <w:spacing w:before="60" w:line="276" w:lineRule="auto"/>
        <w:ind w:left="0" w:firstLine="0"/>
      </w:pPr>
      <w:r w:rsidRPr="00005FDE">
        <w:t xml:space="preserve">Przedmiotem zamówienia jest </w:t>
      </w:r>
      <w:bookmarkStart w:id="1" w:name="_Hlk117842487"/>
      <w:r w:rsidRPr="006068D9">
        <w:rPr>
          <w:b/>
          <w:bCs/>
        </w:rPr>
        <w:t>Dostawa urządzeń infrastruktury serwerowej – dedykowany serwer do obsługi platformy IT w ramach realizacji projektu LIFE_AQP_Opolskie_2019.PL – LIFE19 GIE/PL/000398)</w:t>
      </w:r>
      <w:bookmarkEnd w:id="1"/>
    </w:p>
    <w:p w:rsidR="0006481B" w:rsidRPr="006068D9" w:rsidRDefault="0006481B" w:rsidP="006068D9">
      <w:pPr>
        <w:pStyle w:val="Nagwek2"/>
        <w:spacing w:line="276" w:lineRule="auto"/>
      </w:pPr>
      <w:bookmarkStart w:id="2" w:name="_Hlk99436289"/>
      <w:r w:rsidRPr="00BD47DC">
        <w:t>Dostawa dysków SSD i półek dyskowych w zakresie rozbudowy posiadanej macierzy dyskowej</w:t>
      </w:r>
      <w:bookmarkEnd w:id="2"/>
    </w:p>
    <w:p w:rsidR="0006481B" w:rsidRPr="00005FDE" w:rsidRDefault="0006481B" w:rsidP="006068D9">
      <w:pPr>
        <w:tabs>
          <w:tab w:val="num" w:pos="360"/>
        </w:tabs>
        <w:spacing w:before="60" w:line="276" w:lineRule="auto"/>
        <w:ind w:left="0" w:firstLine="0"/>
        <w:rPr>
          <w:rFonts w:cstheme="minorHAnsi"/>
        </w:rPr>
      </w:pPr>
      <w:r w:rsidRPr="00005FDE">
        <w:rPr>
          <w:rFonts w:cstheme="minorHAnsi"/>
        </w:rPr>
        <w:t xml:space="preserve">Zamawiający planuje </w:t>
      </w:r>
      <w:r w:rsidRPr="006376DB">
        <w:rPr>
          <w:rFonts w:cstheme="minorHAnsi"/>
        </w:rPr>
        <w:t>rozbudowę</w:t>
      </w:r>
      <w:r w:rsidRPr="00005FDE">
        <w:rPr>
          <w:rFonts w:cstheme="minorHAnsi"/>
        </w:rPr>
        <w:t xml:space="preserve"> posiadanej macierzy dyskowej poprzez zwiększenie przestrzeni dyskowej. Rozbudowa macierzy HPE 3PAR 8450 (PN: H6Z17B) o 3 półki dyskowe wyposażone łącznie w 72 dyski SSD 3,84 TB 2,5" SFF wraz ze wszystkimi urządzeniami i/lub akcesoriami niezbędnymi </w:t>
      </w:r>
      <w:r w:rsidR="00131DFC" w:rsidRPr="00005FDE">
        <w:rPr>
          <w:rFonts w:cstheme="minorHAnsi"/>
        </w:rPr>
        <w:t>do</w:t>
      </w:r>
      <w:r w:rsidR="00131DFC">
        <w:rPr>
          <w:rFonts w:cstheme="minorHAnsi"/>
        </w:rPr>
        <w:t> </w:t>
      </w:r>
      <w:r w:rsidRPr="00005FDE">
        <w:rPr>
          <w:rFonts w:cstheme="minorHAnsi"/>
        </w:rPr>
        <w:t>poprawnego montażu oraz działania z macierzą HPE 3PAR 8450 4-node w szczególności poprzez dostawę:</w:t>
      </w:r>
    </w:p>
    <w:p w:rsidR="0006481B" w:rsidRPr="00005FDE" w:rsidRDefault="0006481B" w:rsidP="006068D9">
      <w:pPr>
        <w:pStyle w:val="Akapitzlist"/>
        <w:numPr>
          <w:ilvl w:val="0"/>
          <w:numId w:val="7"/>
        </w:numPr>
        <w:spacing w:line="276" w:lineRule="auto"/>
        <w:ind w:hanging="765"/>
        <w:rPr>
          <w:rFonts w:cstheme="minorHAnsi"/>
        </w:rPr>
      </w:pPr>
      <w:r w:rsidRPr="00005FDE">
        <w:rPr>
          <w:rFonts w:cstheme="minorHAnsi"/>
        </w:rPr>
        <w:t xml:space="preserve">3 półki dyskowe HPE 3PAR 8000 SFF(2.5in) SAS </w:t>
      </w:r>
      <w:proofErr w:type="spellStart"/>
      <w:r w:rsidRPr="00005FDE">
        <w:rPr>
          <w:rFonts w:cstheme="minorHAnsi"/>
        </w:rPr>
        <w:t>Drive</w:t>
      </w:r>
      <w:proofErr w:type="spellEnd"/>
      <w:r w:rsidRPr="00005FDE">
        <w:rPr>
          <w:rFonts w:cstheme="minorHAnsi"/>
        </w:rPr>
        <w:t xml:space="preserve"> </w:t>
      </w:r>
      <w:proofErr w:type="spellStart"/>
      <w:r w:rsidRPr="00005FDE">
        <w:rPr>
          <w:rFonts w:cstheme="minorHAnsi"/>
        </w:rPr>
        <w:t>Encl</w:t>
      </w:r>
      <w:proofErr w:type="spellEnd"/>
      <w:r w:rsidRPr="00005FDE">
        <w:rPr>
          <w:rFonts w:cstheme="minorHAnsi"/>
        </w:rPr>
        <w:t xml:space="preserve"> (H6Z26A) lub równoważne</w:t>
      </w:r>
      <w:r w:rsidR="00131DFC">
        <w:rPr>
          <w:rFonts w:cstheme="minorHAnsi"/>
        </w:rPr>
        <w:t>;</w:t>
      </w:r>
    </w:p>
    <w:p w:rsidR="0006481B" w:rsidRPr="00005FDE" w:rsidRDefault="0006481B" w:rsidP="006068D9">
      <w:pPr>
        <w:pStyle w:val="Akapitzlist"/>
        <w:numPr>
          <w:ilvl w:val="0"/>
          <w:numId w:val="7"/>
        </w:numPr>
        <w:spacing w:line="276" w:lineRule="auto"/>
        <w:ind w:hanging="765"/>
        <w:rPr>
          <w:rFonts w:cstheme="minorHAnsi"/>
        </w:rPr>
      </w:pPr>
      <w:r w:rsidRPr="00005FDE">
        <w:rPr>
          <w:rFonts w:cstheme="minorHAnsi"/>
        </w:rPr>
        <w:t>72 dysków HPE 3,84 TB 2,5" SFF SSD (2P91B) do macierzy 3PAR lub równoważne</w:t>
      </w:r>
      <w:r w:rsidR="00131DFC">
        <w:rPr>
          <w:rFonts w:cstheme="minorHAnsi"/>
        </w:rPr>
        <w:t>.</w:t>
      </w:r>
    </w:p>
    <w:p w:rsidR="0006481B" w:rsidRPr="00005FDE" w:rsidRDefault="0006481B" w:rsidP="006068D9">
      <w:pPr>
        <w:pStyle w:val="Nagwek3"/>
        <w:spacing w:line="276" w:lineRule="auto"/>
      </w:pPr>
      <w:r w:rsidRPr="00131DFC">
        <w:t>Wymagania</w:t>
      </w:r>
      <w:r w:rsidRPr="00005FDE">
        <w:t xml:space="preserve"> </w:t>
      </w:r>
      <w:r w:rsidRPr="00BD47DC">
        <w:t>ogólne</w:t>
      </w:r>
      <w:r w:rsidRPr="00005FDE">
        <w:t xml:space="preserve"> dotyczące rozbudowy macierzy</w:t>
      </w:r>
      <w:r w:rsidR="00131DFC">
        <w:t>:</w:t>
      </w:r>
    </w:p>
    <w:p w:rsidR="0006481B" w:rsidRPr="00C90572" w:rsidRDefault="0006481B" w:rsidP="006068D9">
      <w:pPr>
        <w:pStyle w:val="pktp"/>
      </w:pPr>
      <w:r w:rsidRPr="00C90572">
        <w:t>Do każdego urządzenia musi być dostarczony niezbędny sprzęt eksploatacyjny (przewody zasilające, przewody sygnałowe, szyny montażowe) niezbędny do uruchomienia danego urządzenia w budowanym Rozwiązaniu w miejscu dostawy wskazanym przez Zamawiającego.</w:t>
      </w:r>
    </w:p>
    <w:p w:rsidR="0006481B" w:rsidRPr="00C90572" w:rsidRDefault="0006481B" w:rsidP="006068D9">
      <w:pPr>
        <w:pStyle w:val="pktp"/>
      </w:pPr>
      <w:r w:rsidRPr="00C90572">
        <w:t>Wszystkie urządzenia muszą posiadać oznakowanie CE.</w:t>
      </w:r>
    </w:p>
    <w:p w:rsidR="0006481B" w:rsidRPr="00C90572" w:rsidRDefault="0006481B" w:rsidP="006068D9">
      <w:pPr>
        <w:pStyle w:val="pktp"/>
      </w:pPr>
      <w:r w:rsidRPr="00C90572">
        <w:t xml:space="preserve">Zamawiający dopuszcza urządzenia odnowione tzw. </w:t>
      </w:r>
      <w:proofErr w:type="spellStart"/>
      <w:r w:rsidRPr="00C90572">
        <w:t>Refurbished</w:t>
      </w:r>
      <w:proofErr w:type="spellEnd"/>
      <w:r w:rsidRPr="00C90572">
        <w:t>.</w:t>
      </w:r>
    </w:p>
    <w:p w:rsidR="0006481B" w:rsidRPr="00C90572" w:rsidRDefault="0006481B" w:rsidP="006068D9">
      <w:pPr>
        <w:pStyle w:val="pktp"/>
      </w:pPr>
      <w:r w:rsidRPr="00C90572">
        <w:t>Wszystkie urządzenia muszą współpracować z siecią energetyczną o parametrach: 230 V ± 10%, 50 Hz.</w:t>
      </w:r>
    </w:p>
    <w:p w:rsidR="0006481B" w:rsidRPr="00C90572" w:rsidRDefault="0006481B" w:rsidP="006068D9">
      <w:pPr>
        <w:pStyle w:val="pktp"/>
      </w:pPr>
      <w:r w:rsidRPr="00C90572">
        <w:t xml:space="preserve">Wykonawca, który powołuje się na rozwiązania równoważne opisywane przez Zamawiającego, jest obowiązany wykazać, że oferowane przez niego dostawy spełniają wymagania określone przez Zamawiającego. W przypadku zaoferowania rozwiązań równoważnych Zamawiający wymaga od Wykonawcy przedstawienia dokumentów potwierdzających, czy i w jakim zakresie </w:t>
      </w:r>
      <w:r w:rsidR="00BD47DC" w:rsidRPr="00C90572">
        <w:t>w </w:t>
      </w:r>
      <w:r w:rsidRPr="00C90572">
        <w:t>jego opinii zachodzi równoważność rozwiązań/ produktów i w zakresie jakich elementów (parametrów, funkcji lub cech określonych przez Zamawiającego) określonych w OPZ.</w:t>
      </w:r>
    </w:p>
    <w:p w:rsidR="0006481B" w:rsidRPr="00005FDE" w:rsidRDefault="0006481B" w:rsidP="006068D9">
      <w:pPr>
        <w:pStyle w:val="Nagwek3"/>
        <w:spacing w:line="276" w:lineRule="auto"/>
      </w:pPr>
      <w:r w:rsidRPr="00005FDE">
        <w:t xml:space="preserve">Kryteria równoważności – Dostawa półek dyskowych i dysków SSD </w:t>
      </w:r>
    </w:p>
    <w:p w:rsidR="0006481B" w:rsidRPr="00005FDE" w:rsidRDefault="0006481B" w:rsidP="006068D9">
      <w:pPr>
        <w:pStyle w:val="pktp"/>
        <w:numPr>
          <w:ilvl w:val="0"/>
          <w:numId w:val="13"/>
        </w:numPr>
        <w:tabs>
          <w:tab w:val="clear" w:pos="567"/>
        </w:tabs>
        <w:ind w:left="426" w:hanging="425"/>
      </w:pPr>
      <w:r w:rsidRPr="00005FDE">
        <w:t xml:space="preserve">Zaoferowane </w:t>
      </w:r>
      <w:r w:rsidRPr="00C90572">
        <w:t>przez</w:t>
      </w:r>
      <w:r w:rsidRPr="00005FDE">
        <w:t xml:space="preserve"> Wykonawcę urządzenie równoważne (półka dyskowa wraz z dyskami) musi współpracować i być kompatybilne z urządzeniem eksploatowanym przez Zamawiającego HPE 3PAR </w:t>
      </w:r>
      <w:proofErr w:type="spellStart"/>
      <w:r w:rsidRPr="00005FDE">
        <w:t>StoreServ</w:t>
      </w:r>
      <w:proofErr w:type="spellEnd"/>
      <w:r w:rsidRPr="00005FDE">
        <w:t xml:space="preserve"> 8450 </w:t>
      </w:r>
      <w:proofErr w:type="spellStart"/>
      <w:r w:rsidRPr="00005FDE">
        <w:t>Storage</w:t>
      </w:r>
      <w:proofErr w:type="spellEnd"/>
      <w:r w:rsidRPr="00005FDE">
        <w:t>.</w:t>
      </w:r>
    </w:p>
    <w:p w:rsidR="0006481B" w:rsidRPr="00005FDE" w:rsidRDefault="0006481B" w:rsidP="006068D9">
      <w:pPr>
        <w:pStyle w:val="pktp"/>
        <w:numPr>
          <w:ilvl w:val="0"/>
          <w:numId w:val="13"/>
        </w:numPr>
        <w:tabs>
          <w:tab w:val="clear" w:pos="567"/>
        </w:tabs>
        <w:ind w:left="426" w:hanging="425"/>
      </w:pPr>
      <w:r w:rsidRPr="00005FDE">
        <w:t xml:space="preserve">Po dołączeniu do istniejącej przestrzeni dyskowej Zamawiającego musi być zarządzane </w:t>
      </w:r>
      <w:r w:rsidR="006376DB" w:rsidRPr="00005FDE">
        <w:t>za</w:t>
      </w:r>
      <w:r w:rsidR="006376DB">
        <w:t> </w:t>
      </w:r>
      <w:r w:rsidRPr="00005FDE">
        <w:t>pomocą rozwiązań posiadanych przez Zamawiającego:</w:t>
      </w:r>
    </w:p>
    <w:p w:rsidR="0006481B" w:rsidRPr="00DA6E79" w:rsidRDefault="0006481B" w:rsidP="006068D9">
      <w:pPr>
        <w:pStyle w:val="pktpp"/>
        <w:tabs>
          <w:tab w:val="clear" w:pos="993"/>
        </w:tabs>
        <w:ind w:left="567"/>
      </w:pPr>
      <w:r w:rsidRPr="00DA6E79">
        <w:t xml:space="preserve">HPE 3PAR </w:t>
      </w:r>
      <w:proofErr w:type="spellStart"/>
      <w:r w:rsidRPr="00DA6E79">
        <w:t>StoreServ</w:t>
      </w:r>
      <w:proofErr w:type="spellEnd"/>
      <w:r w:rsidRPr="00DA6E79">
        <w:t xml:space="preserve"> Management Console Software,</w:t>
      </w:r>
    </w:p>
    <w:p w:rsidR="0006481B" w:rsidRPr="00DA6E79" w:rsidRDefault="0006481B" w:rsidP="006068D9">
      <w:pPr>
        <w:pStyle w:val="pktpp"/>
        <w:tabs>
          <w:tab w:val="clear" w:pos="993"/>
        </w:tabs>
        <w:ind w:left="567"/>
      </w:pPr>
      <w:r w:rsidRPr="00DA6E79">
        <w:lastRenderedPageBreak/>
        <w:t>HPE 3PAR Service Processor</w:t>
      </w:r>
    </w:p>
    <w:p w:rsidR="0006481B" w:rsidRPr="00005FDE" w:rsidRDefault="006376DB" w:rsidP="006068D9">
      <w:pPr>
        <w:pStyle w:val="pktp"/>
        <w:numPr>
          <w:ilvl w:val="0"/>
          <w:numId w:val="0"/>
        </w:numPr>
        <w:ind w:left="567"/>
      </w:pPr>
      <w:r>
        <w:t xml:space="preserve">i </w:t>
      </w:r>
      <w:r w:rsidR="0006481B" w:rsidRPr="00005FDE">
        <w:t xml:space="preserve">nie może spowodować utraty gwarancji na posiadaną przez Zamawiającego macierz i jej elementy. Wszystkie elementy wykorzystane do rozbudowy muszą być dedykowane przez producenta macierzy posiadanej przez Zamawiającego. Rozbudowa musi się odbyć zgodnie </w:t>
      </w:r>
      <w:r w:rsidRPr="00005FDE">
        <w:t>z</w:t>
      </w:r>
      <w:r>
        <w:t> </w:t>
      </w:r>
      <w:r w:rsidR="0006481B" w:rsidRPr="00005FDE">
        <w:t>zaleceniami producenta macierzy posiadanej przez Zamawiającego.</w:t>
      </w:r>
    </w:p>
    <w:p w:rsidR="0006481B" w:rsidRPr="00005FDE" w:rsidRDefault="0006481B" w:rsidP="006068D9">
      <w:pPr>
        <w:pStyle w:val="pktp"/>
        <w:numPr>
          <w:ilvl w:val="0"/>
          <w:numId w:val="13"/>
        </w:numPr>
        <w:tabs>
          <w:tab w:val="clear" w:pos="567"/>
        </w:tabs>
        <w:ind w:left="426" w:hanging="425"/>
      </w:pPr>
      <w:r w:rsidRPr="00005FDE">
        <w:t xml:space="preserve">W przypadku zaoferowania urządzeń równoważnych względem wyspecyfikowanego przez Zamawiającego w SWZ, Wykonawca musi na swoją odpowiedzialność i swój koszt udowodnić, że zaoferowane produkty spełniają wszystkie wymagania i warunki określone w SWZ, </w:t>
      </w:r>
      <w:r w:rsidR="006376DB" w:rsidRPr="00005FDE">
        <w:t>w</w:t>
      </w:r>
      <w:r w:rsidR="006376DB">
        <w:t> </w:t>
      </w:r>
      <w:r w:rsidRPr="00005FDE">
        <w:t>szczególności w zakresie:</w:t>
      </w:r>
    </w:p>
    <w:p w:rsidR="0006481B" w:rsidRPr="00C875AD" w:rsidRDefault="0006481B" w:rsidP="006068D9">
      <w:pPr>
        <w:pStyle w:val="pktpp"/>
        <w:numPr>
          <w:ilvl w:val="0"/>
          <w:numId w:val="26"/>
        </w:numPr>
        <w:tabs>
          <w:tab w:val="clear" w:pos="993"/>
        </w:tabs>
        <w:ind w:left="567"/>
        <w:rPr>
          <w:lang w:val="pl-PL"/>
        </w:rPr>
      </w:pPr>
      <w:r w:rsidRPr="006068D9">
        <w:rPr>
          <w:lang w:val="pl-PL"/>
        </w:rPr>
        <w:t xml:space="preserve">warunków licencji / sublicencji / subskrypcji zaoferowanych produktów równoważnych </w:t>
      </w:r>
      <w:r w:rsidR="007B27F6" w:rsidRPr="006068D9">
        <w:rPr>
          <w:lang w:val="pl-PL"/>
        </w:rPr>
        <w:t>w </w:t>
      </w:r>
      <w:r w:rsidRPr="006068D9">
        <w:rPr>
          <w:lang w:val="pl-PL"/>
        </w:rPr>
        <w:t>każdym aspekcie, które nie mogą być gorsze niż dla produktów wymienionych w SWZ,</w:t>
      </w:r>
    </w:p>
    <w:p w:rsidR="0006481B" w:rsidRPr="00C875AD" w:rsidRDefault="0006481B" w:rsidP="006068D9">
      <w:pPr>
        <w:pStyle w:val="pktpp"/>
        <w:numPr>
          <w:ilvl w:val="0"/>
          <w:numId w:val="26"/>
        </w:numPr>
        <w:tabs>
          <w:tab w:val="clear" w:pos="993"/>
        </w:tabs>
        <w:ind w:left="567"/>
        <w:rPr>
          <w:lang w:val="pl-PL"/>
        </w:rPr>
      </w:pPr>
      <w:r w:rsidRPr="006068D9">
        <w:rPr>
          <w:lang w:val="pl-PL"/>
        </w:rPr>
        <w:t>funkcjonalności zaoferowanych produktów równoważnych, które nie mogą być ograniczone i gorsze względem funkcjonalności produktów wymienionych w SWZ,</w:t>
      </w:r>
    </w:p>
    <w:p w:rsidR="0006481B" w:rsidRPr="00C875AD" w:rsidRDefault="0006481B" w:rsidP="006068D9">
      <w:pPr>
        <w:pStyle w:val="pktpp"/>
        <w:numPr>
          <w:ilvl w:val="0"/>
          <w:numId w:val="26"/>
        </w:numPr>
        <w:tabs>
          <w:tab w:val="clear" w:pos="993"/>
        </w:tabs>
        <w:ind w:left="567"/>
        <w:rPr>
          <w:lang w:val="pl-PL"/>
        </w:rPr>
      </w:pPr>
      <w:r w:rsidRPr="006068D9">
        <w:rPr>
          <w:lang w:val="pl-PL"/>
        </w:rPr>
        <w:t xml:space="preserve">zakresu kompatybilności i współdziałania zaoferowanych produktów równoważnych </w:t>
      </w:r>
      <w:r w:rsidR="007B27F6" w:rsidRPr="006068D9">
        <w:rPr>
          <w:lang w:val="pl-PL"/>
        </w:rPr>
        <w:t>ze </w:t>
      </w:r>
      <w:r w:rsidRPr="006068D9">
        <w:rPr>
          <w:lang w:val="pl-PL"/>
        </w:rPr>
        <w:t>sprzętem i oprogramowaniem funkcjonującym u Zamawiającego, który nie może być gorszy niż dla produktów wymienionych w SWZ,</w:t>
      </w:r>
    </w:p>
    <w:p w:rsidR="0006481B" w:rsidRPr="00C875AD" w:rsidRDefault="0006481B" w:rsidP="006068D9">
      <w:pPr>
        <w:pStyle w:val="pktpp"/>
        <w:numPr>
          <w:ilvl w:val="0"/>
          <w:numId w:val="26"/>
        </w:numPr>
        <w:tabs>
          <w:tab w:val="clear" w:pos="993"/>
        </w:tabs>
        <w:ind w:left="567"/>
        <w:rPr>
          <w:lang w:val="pl-PL"/>
        </w:rPr>
      </w:pPr>
      <w:r w:rsidRPr="006068D9">
        <w:rPr>
          <w:lang w:val="pl-PL"/>
        </w:rPr>
        <w:t>poziomu zakłóceń pracy środowiska systemowo-programowego Zamawiającego spowodowanego wykorzystaniem zaoferowanych produktów równoważnych, który nie może być większy niż w przypadku produktów wymienionych w SWZ</w:t>
      </w:r>
      <w:r w:rsidR="006376DB" w:rsidRPr="006068D9">
        <w:rPr>
          <w:lang w:val="pl-PL"/>
        </w:rPr>
        <w:t>,</w:t>
      </w:r>
    </w:p>
    <w:p w:rsidR="0006481B" w:rsidRPr="00C875AD" w:rsidRDefault="0006481B" w:rsidP="006068D9">
      <w:pPr>
        <w:pStyle w:val="pktpp"/>
        <w:numPr>
          <w:ilvl w:val="0"/>
          <w:numId w:val="26"/>
        </w:numPr>
        <w:tabs>
          <w:tab w:val="clear" w:pos="993"/>
        </w:tabs>
        <w:ind w:left="567"/>
        <w:rPr>
          <w:lang w:val="pl-PL"/>
        </w:rPr>
      </w:pPr>
      <w:r w:rsidRPr="006068D9">
        <w:rPr>
          <w:lang w:val="pl-PL"/>
        </w:rPr>
        <w:t>poziomu współpracy zaoferowanych produktów równoważnych z systemami Zamawiającego, który nie może być gorszy od tego jaki zapewniają produkty wymienione w SWZ,</w:t>
      </w:r>
    </w:p>
    <w:p w:rsidR="0006481B" w:rsidRPr="00C875AD" w:rsidRDefault="0006481B" w:rsidP="006068D9">
      <w:pPr>
        <w:pStyle w:val="pktpp"/>
        <w:numPr>
          <w:ilvl w:val="0"/>
          <w:numId w:val="26"/>
        </w:numPr>
        <w:tabs>
          <w:tab w:val="clear" w:pos="993"/>
        </w:tabs>
        <w:ind w:left="567"/>
        <w:rPr>
          <w:lang w:val="pl-PL"/>
        </w:rPr>
      </w:pPr>
      <w:r w:rsidRPr="006068D9">
        <w:rPr>
          <w:lang w:val="pl-PL"/>
        </w:rPr>
        <w:t xml:space="preserve">zapewnienia pełnej, równoległej współpracy w czasie rzeczywistym i pełnej funkcjonalnej zamienności zaoferowanych produktów równoważnych z produktami wymienionymi </w:t>
      </w:r>
      <w:r w:rsidR="00DA6E79" w:rsidRPr="006068D9">
        <w:rPr>
          <w:lang w:val="pl-PL"/>
        </w:rPr>
        <w:t>w </w:t>
      </w:r>
      <w:r w:rsidRPr="006068D9">
        <w:rPr>
          <w:lang w:val="pl-PL"/>
        </w:rPr>
        <w:t>SWZ,</w:t>
      </w:r>
    </w:p>
    <w:p w:rsidR="0006481B" w:rsidRPr="00C875AD" w:rsidRDefault="0006481B" w:rsidP="006068D9">
      <w:pPr>
        <w:pStyle w:val="pktpp"/>
        <w:numPr>
          <w:ilvl w:val="0"/>
          <w:numId w:val="26"/>
        </w:numPr>
        <w:tabs>
          <w:tab w:val="clear" w:pos="993"/>
        </w:tabs>
        <w:ind w:left="567"/>
        <w:rPr>
          <w:lang w:val="pl-PL"/>
        </w:rPr>
      </w:pPr>
      <w:r w:rsidRPr="006068D9">
        <w:rPr>
          <w:lang w:val="pl-PL"/>
        </w:rPr>
        <w:t xml:space="preserve">warunków i zakresu usług gwarancji, asysty technicznej i konserwacji zaoferowanych produktów równoważnych, które nie mogą być gorsze niż dla produktów wymienionych </w:t>
      </w:r>
      <w:r w:rsidR="00DA6E79" w:rsidRPr="006068D9">
        <w:rPr>
          <w:lang w:val="pl-PL"/>
        </w:rPr>
        <w:t>w </w:t>
      </w:r>
      <w:r w:rsidRPr="006068D9">
        <w:rPr>
          <w:lang w:val="pl-PL"/>
        </w:rPr>
        <w:t>SWZ,</w:t>
      </w:r>
    </w:p>
    <w:p w:rsidR="0006481B" w:rsidRPr="00C875AD" w:rsidRDefault="0006481B" w:rsidP="006068D9">
      <w:pPr>
        <w:pStyle w:val="pktpp"/>
        <w:numPr>
          <w:ilvl w:val="0"/>
          <w:numId w:val="26"/>
        </w:numPr>
        <w:tabs>
          <w:tab w:val="clear" w:pos="993"/>
        </w:tabs>
        <w:ind w:left="567"/>
        <w:rPr>
          <w:lang w:val="pl-PL"/>
        </w:rPr>
      </w:pPr>
      <w:r w:rsidRPr="006068D9">
        <w:rPr>
          <w:lang w:val="pl-PL"/>
        </w:rPr>
        <w:t>wymagań sprzętowych dla zaoferowanych produktów równoważnych, które nie mogą być wyższe niż dla produktów wymienionych w SWZ,</w:t>
      </w:r>
    </w:p>
    <w:p w:rsidR="0006481B" w:rsidRPr="00C875AD" w:rsidRDefault="0006481B" w:rsidP="006068D9">
      <w:pPr>
        <w:pStyle w:val="pktpp"/>
        <w:numPr>
          <w:ilvl w:val="0"/>
          <w:numId w:val="26"/>
        </w:numPr>
        <w:tabs>
          <w:tab w:val="clear" w:pos="993"/>
        </w:tabs>
        <w:ind w:left="567"/>
        <w:rPr>
          <w:lang w:val="pl-PL"/>
        </w:rPr>
      </w:pPr>
      <w:r w:rsidRPr="006068D9">
        <w:rPr>
          <w:lang w:val="pl-PL"/>
        </w:rPr>
        <w:t xml:space="preserve">dostępności wersji na różne systemy operacyjne zaoferowanych produktów równoważnych, która nie może być mniejsza niż dla produktów wymienionych </w:t>
      </w:r>
      <w:r w:rsidR="006376DB" w:rsidRPr="006068D9">
        <w:rPr>
          <w:lang w:val="pl-PL"/>
        </w:rPr>
        <w:t>w </w:t>
      </w:r>
      <w:r w:rsidRPr="006068D9">
        <w:rPr>
          <w:lang w:val="pl-PL"/>
        </w:rPr>
        <w:t>SWZ.</w:t>
      </w:r>
    </w:p>
    <w:p w:rsidR="0006481B" w:rsidRPr="00005FDE" w:rsidRDefault="0006481B" w:rsidP="006068D9">
      <w:pPr>
        <w:pStyle w:val="pktp"/>
        <w:numPr>
          <w:ilvl w:val="0"/>
          <w:numId w:val="13"/>
        </w:numPr>
        <w:tabs>
          <w:tab w:val="clear" w:pos="567"/>
        </w:tabs>
        <w:ind w:left="426" w:hanging="425"/>
      </w:pPr>
      <w:r w:rsidRPr="00005FDE">
        <w:t>W przypadku, gdy zaoferowany przez Wykonawcę produkt równoważny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w:t>
      </w:r>
    </w:p>
    <w:p w:rsidR="0006481B" w:rsidRPr="00131DFC" w:rsidRDefault="0006481B" w:rsidP="006068D9">
      <w:pPr>
        <w:pStyle w:val="Nagwek4"/>
        <w:spacing w:line="276" w:lineRule="auto"/>
      </w:pPr>
      <w:r w:rsidRPr="00005FDE">
        <w:t>Półki dyskowe</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4441"/>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Parametr</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Równoważne wymagania minimalne</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 xml:space="preserve">Rodzaj urządzenia </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Półka dyskowa</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Typ obudowy</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Możliwość montażu w szafie RACK— 2U</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Ilość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24</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lastRenderedPageBreak/>
              <w:t>Rozmiar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2,5” SFF</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Interfejs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SAS</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Złącza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1 x SAS</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Współpraca z następującymi urządzeniami</w:t>
            </w:r>
          </w:p>
        </w:tc>
        <w:tc>
          <w:tcPr>
            <w:tcW w:w="0" w:type="dxa"/>
            <w:vAlign w:val="center"/>
          </w:tcPr>
          <w:p w:rsidR="0006481B" w:rsidRPr="00005FDE" w:rsidRDefault="0006481B" w:rsidP="006068D9">
            <w:pPr>
              <w:spacing w:line="276" w:lineRule="auto"/>
              <w:ind w:left="5" w:hanging="5"/>
              <w:cnfStyle w:val="000000000000"/>
              <w:rPr>
                <w:rFonts w:cstheme="minorHAnsi"/>
              </w:rPr>
            </w:pPr>
            <w:proofErr w:type="spellStart"/>
            <w:r w:rsidRPr="00005FDE">
              <w:rPr>
                <w:rFonts w:cstheme="minorHAnsi"/>
              </w:rPr>
              <w:t>StoreServ</w:t>
            </w:r>
            <w:proofErr w:type="spellEnd"/>
            <w:r w:rsidRPr="00005FDE">
              <w:rPr>
                <w:rFonts w:cstheme="minorHAnsi"/>
              </w:rPr>
              <w:t xml:space="preserve"> 8450 4-node </w:t>
            </w:r>
            <w:proofErr w:type="spellStart"/>
            <w:r w:rsidRPr="00005FDE">
              <w:rPr>
                <w:rFonts w:cstheme="minorHAnsi"/>
              </w:rPr>
              <w:t>Storage</w:t>
            </w:r>
            <w:proofErr w:type="spellEnd"/>
            <w:r w:rsidRPr="00005FDE">
              <w:rPr>
                <w:rFonts w:cstheme="minorHAnsi"/>
              </w:rPr>
              <w:t xml:space="preserve"> Base</w:t>
            </w:r>
          </w:p>
        </w:tc>
      </w:tr>
      <w:tr w:rsidR="0006481B" w:rsidRPr="00005FDE" w:rsidTr="006068D9">
        <w:trPr>
          <w:trHeight w:val="298"/>
        </w:trPr>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Akcesoria</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2 x kabel zasilający, 4 x kabel SAS, szyny montażowe</w:t>
            </w:r>
          </w:p>
        </w:tc>
      </w:tr>
    </w:tbl>
    <w:p w:rsidR="0006481B" w:rsidRPr="00005FDE" w:rsidRDefault="0006481B" w:rsidP="006068D9">
      <w:pPr>
        <w:pStyle w:val="Nagwek4"/>
        <w:spacing w:line="276" w:lineRule="auto"/>
        <w:rPr>
          <w:i/>
          <w:iCs/>
        </w:rPr>
      </w:pPr>
      <w:r w:rsidRPr="00005FDE">
        <w:t>Dyski SSD</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489"/>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Parametr</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Równoważne wymagania minimalne</w:t>
            </w:r>
          </w:p>
        </w:tc>
      </w:tr>
      <w:tr w:rsidR="0006481B" w:rsidRPr="00837A99"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 xml:space="preserve">Rodzaj urządzenia </w:t>
            </w:r>
          </w:p>
        </w:tc>
        <w:tc>
          <w:tcPr>
            <w:tcW w:w="0" w:type="dxa"/>
          </w:tcPr>
          <w:p w:rsidR="0006481B" w:rsidRPr="00005FDE" w:rsidRDefault="0006481B" w:rsidP="006068D9">
            <w:pPr>
              <w:spacing w:line="276" w:lineRule="auto"/>
              <w:cnfStyle w:val="000000000000"/>
              <w:rPr>
                <w:rFonts w:cstheme="minorHAnsi"/>
                <w:lang w:val="en-US"/>
              </w:rPr>
            </w:pPr>
            <w:proofErr w:type="spellStart"/>
            <w:r w:rsidRPr="00005FDE">
              <w:rPr>
                <w:rFonts w:cstheme="minorHAnsi"/>
                <w:lang w:val="en-US"/>
              </w:rPr>
              <w:t>Dysk</w:t>
            </w:r>
            <w:proofErr w:type="spellEnd"/>
            <w:r w:rsidRPr="00005FDE">
              <w:rPr>
                <w:rFonts w:cstheme="minorHAnsi"/>
                <w:lang w:val="en-US"/>
              </w:rPr>
              <w:t xml:space="preserve"> SSD (Solid State Drive)</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Pojemność pojedynczego dysku</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3,84 TB</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Rozmiar</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2,5" SFF</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Interfejs</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SAS</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Złącza</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1 x SAS</w:t>
            </w:r>
          </w:p>
        </w:tc>
      </w:tr>
      <w:tr w:rsidR="0006481B" w:rsidRPr="00837A99"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Współpraca z następującymi urządzeniami</w:t>
            </w:r>
          </w:p>
        </w:tc>
        <w:tc>
          <w:tcPr>
            <w:tcW w:w="0" w:type="dxa"/>
          </w:tcPr>
          <w:p w:rsidR="0006481B" w:rsidRPr="00005FDE" w:rsidRDefault="0006481B" w:rsidP="006068D9">
            <w:pPr>
              <w:spacing w:line="276" w:lineRule="auto"/>
              <w:ind w:left="5" w:hanging="5"/>
              <w:cnfStyle w:val="000000000000"/>
              <w:rPr>
                <w:rFonts w:cstheme="minorHAnsi"/>
                <w:lang w:val="en-US"/>
              </w:rPr>
            </w:pPr>
            <w:r w:rsidRPr="00005FDE">
              <w:rPr>
                <w:rFonts w:cstheme="minorHAnsi"/>
                <w:lang w:val="en-US"/>
              </w:rPr>
              <w:t xml:space="preserve">HPE 3PAR </w:t>
            </w:r>
            <w:proofErr w:type="spellStart"/>
            <w:r w:rsidRPr="00005FDE">
              <w:rPr>
                <w:rFonts w:cstheme="minorHAnsi"/>
                <w:lang w:val="en-US"/>
              </w:rPr>
              <w:t>StoreServ</w:t>
            </w:r>
            <w:proofErr w:type="spellEnd"/>
            <w:r w:rsidRPr="00005FDE">
              <w:rPr>
                <w:rFonts w:cstheme="minorHAnsi"/>
                <w:lang w:val="en-US"/>
              </w:rPr>
              <w:t xml:space="preserve"> 8000 SFF SAS Drive Enclosure, </w:t>
            </w:r>
            <w:proofErr w:type="spellStart"/>
            <w:r w:rsidRPr="00005FDE">
              <w:rPr>
                <w:rFonts w:cstheme="minorHAnsi"/>
                <w:lang w:val="en-US"/>
              </w:rPr>
              <w:t>StoreServ</w:t>
            </w:r>
            <w:proofErr w:type="spellEnd"/>
            <w:r w:rsidRPr="00005FDE">
              <w:rPr>
                <w:rFonts w:cstheme="minorHAnsi"/>
                <w:lang w:val="en-US"/>
              </w:rPr>
              <w:t xml:space="preserve"> 8450 4-node Storage Base</w:t>
            </w:r>
          </w:p>
        </w:tc>
      </w:tr>
    </w:tbl>
    <w:p w:rsidR="0006481B" w:rsidRPr="00005FDE" w:rsidRDefault="0006481B" w:rsidP="006068D9">
      <w:pPr>
        <w:pStyle w:val="Nagwek4"/>
      </w:pPr>
      <w:r w:rsidRPr="00005FDE">
        <w:t>Kryteria równoważności</w:t>
      </w:r>
    </w:p>
    <w:p w:rsidR="0006481B" w:rsidRPr="00005FDE" w:rsidRDefault="0006481B" w:rsidP="006068D9">
      <w:pPr>
        <w:pStyle w:val="pktp"/>
        <w:numPr>
          <w:ilvl w:val="0"/>
          <w:numId w:val="20"/>
        </w:numPr>
        <w:tabs>
          <w:tab w:val="clear" w:pos="567"/>
        </w:tabs>
        <w:ind w:left="426" w:hanging="284"/>
      </w:pPr>
      <w:r w:rsidRPr="00005FDE">
        <w:t xml:space="preserve">We wszystkich miejscach niniejszego dokumentu, w których użyto przykładowego znaku towarowego, patentu lub pochodzenia, jest to uzasadnione specyfiką przedmiotu zamówienia </w:t>
      </w:r>
      <w:r w:rsidR="00AA54CF" w:rsidRPr="00005FDE">
        <w:t>i</w:t>
      </w:r>
      <w:r w:rsidR="00AA54CF">
        <w:t> </w:t>
      </w:r>
      <w:r w:rsidRPr="00005FDE">
        <w:t>Zamawiający nie może opisać przedmiotu zamówienia za pomocą dostatecznie dokładnych określeń.</w:t>
      </w:r>
    </w:p>
    <w:p w:rsidR="0006481B" w:rsidRPr="00005FDE" w:rsidRDefault="0006481B" w:rsidP="006068D9">
      <w:pPr>
        <w:pStyle w:val="pktp"/>
        <w:tabs>
          <w:tab w:val="clear" w:pos="567"/>
        </w:tabs>
        <w:ind w:left="426" w:hanging="284"/>
      </w:pPr>
      <w:r w:rsidRPr="00005FDE">
        <w:t>Wykonawca, który powoła się na rozwiązania równoważne opisywanym przez Zamawiającego, jest obowiązany wykazać w ofercie, że oferowany przez niego przedmiot dostawy spełnia wymagania określone przez Zamawiającego.</w:t>
      </w:r>
    </w:p>
    <w:p w:rsidR="0006481B" w:rsidRPr="00005FDE" w:rsidRDefault="0006481B" w:rsidP="006068D9">
      <w:pPr>
        <w:pStyle w:val="pktp"/>
        <w:tabs>
          <w:tab w:val="clear" w:pos="567"/>
        </w:tabs>
        <w:ind w:left="426" w:hanging="284"/>
      </w:pPr>
      <w:r w:rsidRPr="00005FDE">
        <w:t>Ciężar dowodowy w zakresie udowodnienia równoważności zaoferowanych rozwiązań z rozwiązaniami opisanymi poprzez wskazanie przykładowego znaku towarowego, patentu lub pochodzenia, spoczywa na Wykonawcy, składającym ofertę równoważną.</w:t>
      </w:r>
    </w:p>
    <w:p w:rsidR="0006481B" w:rsidRPr="00005FDE" w:rsidRDefault="0006481B" w:rsidP="006068D9">
      <w:pPr>
        <w:pStyle w:val="pktp"/>
        <w:tabs>
          <w:tab w:val="clear" w:pos="567"/>
        </w:tabs>
        <w:ind w:left="426" w:hanging="284"/>
      </w:pPr>
      <w:r w:rsidRPr="00005FDE">
        <w:t xml:space="preserve">Zamawiający wymaga, aby zaoferowane przez Wykonawcę rozwiązania równoważne nie wiązały się z koniecznością wykonania dodatkowych prac integracyjnych, testowych czy migracyjnych </w:t>
      </w:r>
      <w:r w:rsidR="00AA54CF" w:rsidRPr="00005FDE">
        <w:t>po</w:t>
      </w:r>
      <w:r w:rsidR="00AA54CF">
        <w:t> </w:t>
      </w:r>
      <w:r w:rsidRPr="00005FDE">
        <w:t>stronie Zamawiającego, tym samym poniesienia dodatkowych, niezaplanowanych kosztów.</w:t>
      </w:r>
    </w:p>
    <w:p w:rsidR="0006481B" w:rsidRPr="00005FDE" w:rsidRDefault="0006481B" w:rsidP="006068D9">
      <w:pPr>
        <w:pStyle w:val="pktp"/>
        <w:tabs>
          <w:tab w:val="clear" w:pos="567"/>
        </w:tabs>
        <w:ind w:left="426" w:hanging="284"/>
      </w:pPr>
      <w:r w:rsidRPr="00005FDE">
        <w:t xml:space="preserve">W przypadku oferowania rozwiązania równoważnego, wykonawca zobowiązany jest wykazać, </w:t>
      </w:r>
      <w:r w:rsidR="00AA54CF" w:rsidRPr="00005FDE">
        <w:t>że</w:t>
      </w:r>
      <w:r w:rsidR="00AA54CF">
        <w:t> </w:t>
      </w:r>
      <w:r w:rsidRPr="00005FDE">
        <w:t>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w:t>
      </w:r>
    </w:p>
    <w:p w:rsidR="0006481B" w:rsidRPr="00005FDE" w:rsidRDefault="0006481B" w:rsidP="006068D9">
      <w:pPr>
        <w:pStyle w:val="pktp"/>
        <w:tabs>
          <w:tab w:val="clear" w:pos="567"/>
        </w:tabs>
        <w:ind w:left="426" w:hanging="284"/>
      </w:pPr>
      <w:r w:rsidRPr="00005FDE">
        <w:t>Zaoferowane rozwiązanie równoważne musi być w pełni kompatybilne z istniejącymi rozwiązaniami w środowisku, w tym dedykowanymi ze względu na specyfikę aplikacjami, systemami, także w warstwie aplikacyjnej.</w:t>
      </w:r>
    </w:p>
    <w:p w:rsidR="00963098" w:rsidRPr="00005FDE" w:rsidRDefault="0006481B" w:rsidP="0067382E">
      <w:pPr>
        <w:pStyle w:val="pktp"/>
        <w:tabs>
          <w:tab w:val="clear" w:pos="567"/>
        </w:tabs>
        <w:ind w:left="426" w:hanging="284"/>
      </w:pPr>
      <w:r w:rsidRPr="00005FDE">
        <w:t>Ponadto zastosowanie rozwiązania równoważnego nie może ograniczyć funkcjonalności posiadanego systemu przez Zamawiającego i nie może powodować konieczności ponoszenia dodatkowych kosztów dla Zamawiającego.</w:t>
      </w:r>
      <w:r w:rsidR="0067382E" w:rsidRPr="00005FDE">
        <w:t xml:space="preserve"> </w:t>
      </w:r>
    </w:p>
    <w:sectPr w:rsidR="00963098" w:rsidRPr="00005FDE" w:rsidSect="00715B56">
      <w:footerReference w:type="default" r:id="rId7"/>
      <w:headerReference w:type="first" r:id="rId8"/>
      <w:footerReference w:type="first" r:id="rId9"/>
      <w:pgSz w:w="11906" w:h="16838"/>
      <w:pgMar w:top="1417" w:right="1417" w:bottom="1417"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92" w:rsidRDefault="00850292">
      <w:r>
        <w:separator/>
      </w:r>
    </w:p>
  </w:endnote>
  <w:endnote w:type="continuationSeparator" w:id="0">
    <w:p w:rsidR="00850292" w:rsidRDefault="00850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37678"/>
      <w:docPartObj>
        <w:docPartGallery w:val="Page Numbers (Top of Page)"/>
        <w:docPartUnique/>
      </w:docPartObj>
    </w:sdtPr>
    <w:sdtContent>
      <w:p w:rsidR="005F464E" w:rsidRDefault="0006481B" w:rsidP="008D2118">
        <w:pPr>
          <w:pStyle w:val="Stopka"/>
          <w:jc w:val="center"/>
        </w:pPr>
        <w:r w:rsidRPr="008D2118">
          <w:rPr>
            <w:sz w:val="18"/>
            <w:szCs w:val="18"/>
          </w:rPr>
          <w:t xml:space="preserve">Strona </w:t>
        </w:r>
        <w:r w:rsidR="008A5208" w:rsidRPr="008D2118">
          <w:rPr>
            <w:b/>
            <w:bCs/>
            <w:sz w:val="18"/>
            <w:szCs w:val="18"/>
          </w:rPr>
          <w:fldChar w:fldCharType="begin"/>
        </w:r>
        <w:r w:rsidRPr="008D2118">
          <w:rPr>
            <w:b/>
            <w:bCs/>
            <w:sz w:val="18"/>
            <w:szCs w:val="18"/>
          </w:rPr>
          <w:instrText>PAGE</w:instrText>
        </w:r>
        <w:r w:rsidR="008A5208" w:rsidRPr="008D2118">
          <w:rPr>
            <w:b/>
            <w:bCs/>
            <w:sz w:val="18"/>
            <w:szCs w:val="18"/>
          </w:rPr>
          <w:fldChar w:fldCharType="separate"/>
        </w:r>
        <w:r w:rsidR="00560E48">
          <w:rPr>
            <w:b/>
            <w:bCs/>
            <w:noProof/>
            <w:sz w:val="18"/>
            <w:szCs w:val="18"/>
          </w:rPr>
          <w:t>3</w:t>
        </w:r>
        <w:r w:rsidR="008A5208" w:rsidRPr="008D2118">
          <w:rPr>
            <w:b/>
            <w:bCs/>
            <w:sz w:val="18"/>
            <w:szCs w:val="18"/>
          </w:rPr>
          <w:fldChar w:fldCharType="end"/>
        </w:r>
        <w:r w:rsidRPr="008D2118">
          <w:rPr>
            <w:sz w:val="18"/>
            <w:szCs w:val="18"/>
          </w:rPr>
          <w:t xml:space="preserve"> z </w:t>
        </w:r>
        <w:r w:rsidR="008A5208" w:rsidRPr="008D2118">
          <w:rPr>
            <w:b/>
            <w:bCs/>
            <w:sz w:val="18"/>
            <w:szCs w:val="18"/>
          </w:rPr>
          <w:fldChar w:fldCharType="begin"/>
        </w:r>
        <w:r w:rsidRPr="008D2118">
          <w:rPr>
            <w:b/>
            <w:bCs/>
            <w:sz w:val="18"/>
            <w:szCs w:val="18"/>
          </w:rPr>
          <w:instrText>NUMPAGES</w:instrText>
        </w:r>
        <w:r w:rsidR="008A5208" w:rsidRPr="008D2118">
          <w:rPr>
            <w:b/>
            <w:bCs/>
            <w:sz w:val="18"/>
            <w:szCs w:val="18"/>
          </w:rPr>
          <w:fldChar w:fldCharType="separate"/>
        </w:r>
        <w:r w:rsidR="00560E48">
          <w:rPr>
            <w:b/>
            <w:bCs/>
            <w:noProof/>
            <w:sz w:val="18"/>
            <w:szCs w:val="18"/>
          </w:rPr>
          <w:t>3</w:t>
        </w:r>
        <w:r w:rsidR="008A5208" w:rsidRPr="008D2118">
          <w:rPr>
            <w:b/>
            <w:bCs/>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48396"/>
      <w:docPartObj>
        <w:docPartGallery w:val="Page Numbers (Bottom of Page)"/>
        <w:docPartUnique/>
      </w:docPartObj>
    </w:sdtPr>
    <w:sdtContent>
      <w:sdt>
        <w:sdtPr>
          <w:id w:val="-1669238322"/>
          <w:docPartObj>
            <w:docPartGallery w:val="Page Numbers (Top of Page)"/>
            <w:docPartUnique/>
          </w:docPartObj>
        </w:sdtPr>
        <w:sdtContent>
          <w:p w:rsidR="005F464E" w:rsidRDefault="0006481B" w:rsidP="008D2118">
            <w:pPr>
              <w:pStyle w:val="Stopka"/>
              <w:jc w:val="center"/>
            </w:pPr>
            <w:r w:rsidRPr="008D2118">
              <w:rPr>
                <w:sz w:val="18"/>
                <w:szCs w:val="18"/>
              </w:rPr>
              <w:t xml:space="preserve">Strona </w:t>
            </w:r>
            <w:r w:rsidR="008A5208" w:rsidRPr="008D2118">
              <w:rPr>
                <w:b/>
                <w:bCs/>
                <w:sz w:val="18"/>
                <w:szCs w:val="18"/>
              </w:rPr>
              <w:fldChar w:fldCharType="begin"/>
            </w:r>
            <w:r w:rsidRPr="008D2118">
              <w:rPr>
                <w:b/>
                <w:bCs/>
                <w:sz w:val="18"/>
                <w:szCs w:val="18"/>
              </w:rPr>
              <w:instrText>PAGE</w:instrText>
            </w:r>
            <w:r w:rsidR="008A5208" w:rsidRPr="008D2118">
              <w:rPr>
                <w:b/>
                <w:bCs/>
                <w:sz w:val="18"/>
                <w:szCs w:val="18"/>
              </w:rPr>
              <w:fldChar w:fldCharType="separate"/>
            </w:r>
            <w:r w:rsidR="00560E48">
              <w:rPr>
                <w:b/>
                <w:bCs/>
                <w:noProof/>
                <w:sz w:val="18"/>
                <w:szCs w:val="18"/>
              </w:rPr>
              <w:t>1</w:t>
            </w:r>
            <w:r w:rsidR="008A5208" w:rsidRPr="008D2118">
              <w:rPr>
                <w:b/>
                <w:bCs/>
                <w:sz w:val="18"/>
                <w:szCs w:val="18"/>
              </w:rPr>
              <w:fldChar w:fldCharType="end"/>
            </w:r>
            <w:r w:rsidRPr="008D2118">
              <w:rPr>
                <w:sz w:val="18"/>
                <w:szCs w:val="18"/>
              </w:rPr>
              <w:t xml:space="preserve"> z </w:t>
            </w:r>
            <w:r w:rsidR="008A5208" w:rsidRPr="008D2118">
              <w:rPr>
                <w:b/>
                <w:bCs/>
                <w:sz w:val="18"/>
                <w:szCs w:val="18"/>
              </w:rPr>
              <w:fldChar w:fldCharType="begin"/>
            </w:r>
            <w:r w:rsidRPr="008D2118">
              <w:rPr>
                <w:b/>
                <w:bCs/>
                <w:sz w:val="18"/>
                <w:szCs w:val="18"/>
              </w:rPr>
              <w:instrText>NUMPAGES</w:instrText>
            </w:r>
            <w:r w:rsidR="008A5208" w:rsidRPr="008D2118">
              <w:rPr>
                <w:b/>
                <w:bCs/>
                <w:sz w:val="18"/>
                <w:szCs w:val="18"/>
              </w:rPr>
              <w:fldChar w:fldCharType="separate"/>
            </w:r>
            <w:r w:rsidR="00560E48">
              <w:rPr>
                <w:b/>
                <w:bCs/>
                <w:noProof/>
                <w:sz w:val="18"/>
                <w:szCs w:val="18"/>
              </w:rPr>
              <w:t>3</w:t>
            </w:r>
            <w:r w:rsidR="008A5208" w:rsidRPr="008D2118">
              <w:rPr>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92" w:rsidRDefault="00850292">
      <w:r>
        <w:separator/>
      </w:r>
    </w:p>
  </w:footnote>
  <w:footnote w:type="continuationSeparator" w:id="0">
    <w:p w:rsidR="00850292" w:rsidRDefault="0085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4E" w:rsidRDefault="0006481B" w:rsidP="008D2118">
    <w:pPr>
      <w:widowControl w:val="0"/>
      <w:pBdr>
        <w:bottom w:val="single" w:sz="4" w:space="1" w:color="auto"/>
      </w:pBdr>
      <w:suppressAutoHyphens/>
      <w:ind w:left="0" w:firstLine="0"/>
      <w:rPr>
        <w:rFonts w:ascii="Calibri" w:eastAsia="Lucida Sans Unicode" w:hAnsi="Calibri"/>
        <w:i/>
        <w:noProof/>
        <w:sz w:val="16"/>
        <w:szCs w:val="16"/>
      </w:rPr>
    </w:pPr>
    <w:r>
      <w:rPr>
        <w:noProof/>
        <w:lang w:eastAsia="pl-PL"/>
      </w:rPr>
      <w:drawing>
        <wp:inline distT="0" distB="0" distL="0" distR="0">
          <wp:extent cx="5760720" cy="10274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27430"/>
                  </a:xfrm>
                  <a:prstGeom prst="rect">
                    <a:avLst/>
                  </a:prstGeom>
                  <a:noFill/>
                  <a:ln>
                    <a:noFill/>
                  </a:ln>
                </pic:spPr>
              </pic:pic>
            </a:graphicData>
          </a:graphic>
        </wp:inline>
      </w:drawing>
    </w:r>
  </w:p>
  <w:p w:rsidR="005F464E" w:rsidRPr="00A022C8" w:rsidRDefault="00560E48" w:rsidP="00A022C8">
    <w:pPr>
      <w:widowControl w:val="0"/>
      <w:suppressAutoHyphens/>
      <w:ind w:left="0" w:firstLine="0"/>
      <w:rPr>
        <w:rFonts w:ascii="Calibri" w:eastAsia="Lucida Sans Unicode" w:hAnsi="Calibri"/>
        <w:i/>
        <w:noProo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3B0"/>
    <w:multiLevelType w:val="hybridMultilevel"/>
    <w:tmpl w:val="E584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AA46252">
      <w:start w:val="1"/>
      <w:numFmt w:val="lowerLetter"/>
      <w:pStyle w:val="pktppp"/>
      <w:lvlText w:val="%3)"/>
      <w:lvlJc w:val="left"/>
      <w:pPr>
        <w:ind w:left="2340" w:hanging="360"/>
      </w:pPr>
    </w:lvl>
    <w:lvl w:ilvl="3" w:tplc="095A0964">
      <w:start w:val="1"/>
      <w:numFmt w:val="bullet"/>
      <w:pStyle w:val="pktpppp"/>
      <w:lvlText w:val=""/>
      <w:lvlJc w:val="left"/>
      <w:pPr>
        <w:ind w:left="294"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F5193"/>
    <w:multiLevelType w:val="hybridMultilevel"/>
    <w:tmpl w:val="12023A3C"/>
    <w:lvl w:ilvl="0" w:tplc="04150011">
      <w:start w:val="1"/>
      <w:numFmt w:val="decimal"/>
      <w:lvlText w:val="%1)"/>
      <w:lvlJc w:val="left"/>
      <w:pPr>
        <w:ind w:left="720" w:hanging="360"/>
      </w:pPr>
      <w:rPr>
        <w:rFonts w:hint="default"/>
      </w:rPr>
    </w:lvl>
    <w:lvl w:ilvl="1" w:tplc="9FA8A18E">
      <w:start w:val="1"/>
      <w:numFmt w:val="decimal"/>
      <w:pStyle w:val="pktpp"/>
      <w:lvlText w:val="%2)"/>
      <w:lvlJc w:val="left"/>
      <w:pPr>
        <w:ind w:left="786"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nsid w:val="2B7E3EE4"/>
    <w:multiLevelType w:val="hybridMultilevel"/>
    <w:tmpl w:val="C50E2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224856"/>
    <w:multiLevelType w:val="hybridMultilevel"/>
    <w:tmpl w:val="B46C41F6"/>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start w:val="1"/>
      <w:numFmt w:val="lowerLetter"/>
      <w:lvlText w:val="%3)"/>
      <w:lvlJc w:val="left"/>
      <w:pPr>
        <w:ind w:left="2340" w:hanging="360"/>
      </w:pPr>
    </w:lvl>
    <w:lvl w:ilvl="3" w:tplc="FFFFFFFF">
      <w:start w:val="1"/>
      <w:numFmt w:val="bullet"/>
      <w:lvlText w:val=""/>
      <w:lvlJc w:val="left"/>
      <w:pPr>
        <w:ind w:left="29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1D4ECE"/>
    <w:multiLevelType w:val="hybridMultilevel"/>
    <w:tmpl w:val="E7BA57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654F32"/>
    <w:multiLevelType w:val="hybridMultilevel"/>
    <w:tmpl w:val="8800F09C"/>
    <w:lvl w:ilvl="0" w:tplc="FFFFFFF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94F2E18"/>
    <w:multiLevelType w:val="hybridMultilevel"/>
    <w:tmpl w:val="2AA42BB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nsid w:val="555562D9"/>
    <w:multiLevelType w:val="hybridMultilevel"/>
    <w:tmpl w:val="59CEB646"/>
    <w:lvl w:ilvl="0" w:tplc="FFFFFFF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F23893"/>
    <w:multiLevelType w:val="hybridMultilevel"/>
    <w:tmpl w:val="262491C4"/>
    <w:lvl w:ilvl="0" w:tplc="A3D25858">
      <w:start w:val="1"/>
      <w:numFmt w:val="decimal"/>
      <w:pStyle w:val="pktp"/>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nsid w:val="57065877"/>
    <w:multiLevelType w:val="hybridMultilevel"/>
    <w:tmpl w:val="C2C8E3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9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8F15118"/>
    <w:multiLevelType w:val="hybridMultilevel"/>
    <w:tmpl w:val="771C12C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778621C9"/>
    <w:multiLevelType w:val="hybridMultilevel"/>
    <w:tmpl w:val="CC3CAB6C"/>
    <w:lvl w:ilvl="0" w:tplc="04150001">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13">
    <w:nsid w:val="7B1F36B4"/>
    <w:multiLevelType w:val="hybridMultilevel"/>
    <w:tmpl w:val="C6E4B7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1"/>
  </w:num>
  <w:num w:numId="3">
    <w:abstractNumId w:val="2"/>
  </w:num>
  <w:num w:numId="4">
    <w:abstractNumId w:val="0"/>
  </w:num>
  <w:num w:numId="5">
    <w:abstractNumId w:val="10"/>
  </w:num>
  <w:num w:numId="6">
    <w:abstractNumId w:val="9"/>
  </w:num>
  <w:num w:numId="7">
    <w:abstractNumId w:val="12"/>
  </w:num>
  <w:num w:numId="8">
    <w:abstractNumId w:val="9"/>
  </w:num>
  <w:num w:numId="9">
    <w:abstractNumId w:val="9"/>
  </w:num>
  <w:num w:numId="10">
    <w:abstractNumId w:val="9"/>
  </w:num>
  <w:num w:numId="11">
    <w:abstractNumId w:val="9"/>
  </w:num>
  <w:num w:numId="12">
    <w:abstractNumId w:val="9"/>
  </w:num>
  <w:num w:numId="13">
    <w:abstractNumId w:val="9"/>
    <w:lvlOverride w:ilvl="0">
      <w:startOverride w:val="1"/>
    </w:lvlOverride>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num>
  <w:num w:numId="27">
    <w:abstractNumId w:val="11"/>
  </w:num>
  <w:num w:numId="28">
    <w:abstractNumId w:val="1"/>
  </w:num>
  <w:num w:numId="29">
    <w:abstractNumId w:val="1"/>
  </w:num>
  <w:num w:numId="30">
    <w:abstractNumId w:val="0"/>
    <w:lvlOverride w:ilvl="0">
      <w:startOverride w:val="1"/>
    </w:lvlOverride>
  </w:num>
  <w:num w:numId="31">
    <w:abstractNumId w:val="0"/>
    <w:lvlOverride w:ilvl="0">
      <w:startOverride w:val="1"/>
    </w:lvlOverride>
  </w:num>
  <w:num w:numId="32">
    <w:abstractNumId w:val="3"/>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6"/>
  </w:num>
  <w:num w:numId="48">
    <w:abstractNumId w:val="1"/>
    <w:lvlOverride w:ilvl="0">
      <w:startOverride w:val="1"/>
    </w:lvlOverride>
  </w:num>
  <w:num w:numId="49">
    <w:abstractNumId w:val="8"/>
  </w:num>
  <w:num w:numId="50">
    <w:abstractNumId w:val="4"/>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lvlOverride w:ilvl="0">
      <w:startOverride w:val="1"/>
    </w:lvlOverride>
  </w:num>
  <w:num w:numId="63">
    <w:abstractNumId w:val="9"/>
  </w:num>
  <w:num w:numId="64">
    <w:abstractNumId w:val="9"/>
  </w:num>
  <w:num w:numId="65">
    <w:abstractNumId w:val="9"/>
  </w:num>
  <w:num w:numId="66">
    <w:abstractNumId w:val="9"/>
  </w:num>
  <w:num w:numId="67">
    <w:abstractNumId w:val="9"/>
    <w:lvlOverride w:ilvl="0">
      <w:startOverride w:val="1"/>
    </w:lvlOverride>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9"/>
  </w:num>
  <w:num w:numId="76">
    <w:abstractNumId w:val="9"/>
  </w:num>
  <w:num w:numId="77">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481B"/>
    <w:rsid w:val="00005FDE"/>
    <w:rsid w:val="0006481B"/>
    <w:rsid w:val="000A2FB3"/>
    <w:rsid w:val="000B6693"/>
    <w:rsid w:val="00131DFC"/>
    <w:rsid w:val="00136088"/>
    <w:rsid w:val="00166769"/>
    <w:rsid w:val="002322ED"/>
    <w:rsid w:val="003957FF"/>
    <w:rsid w:val="003F0CBE"/>
    <w:rsid w:val="004E5094"/>
    <w:rsid w:val="00560E48"/>
    <w:rsid w:val="00565CE2"/>
    <w:rsid w:val="005A0C42"/>
    <w:rsid w:val="005F5819"/>
    <w:rsid w:val="006068D9"/>
    <w:rsid w:val="006376DB"/>
    <w:rsid w:val="0067382E"/>
    <w:rsid w:val="006A3E01"/>
    <w:rsid w:val="007B27F6"/>
    <w:rsid w:val="00827093"/>
    <w:rsid w:val="00837A99"/>
    <w:rsid w:val="00850292"/>
    <w:rsid w:val="008A5208"/>
    <w:rsid w:val="008B2013"/>
    <w:rsid w:val="008B46FD"/>
    <w:rsid w:val="00963098"/>
    <w:rsid w:val="00A02E36"/>
    <w:rsid w:val="00A532DF"/>
    <w:rsid w:val="00A64FFE"/>
    <w:rsid w:val="00AA54CF"/>
    <w:rsid w:val="00B12B9F"/>
    <w:rsid w:val="00BC4759"/>
    <w:rsid w:val="00BD47DC"/>
    <w:rsid w:val="00C83CF8"/>
    <w:rsid w:val="00C875AD"/>
    <w:rsid w:val="00C90572"/>
    <w:rsid w:val="00DA6E79"/>
    <w:rsid w:val="00E161F2"/>
    <w:rsid w:val="00ED6BF5"/>
    <w:rsid w:val="00F23F6D"/>
    <w:rsid w:val="00F47BD2"/>
    <w:rsid w:val="00FB4A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81B"/>
    <w:pPr>
      <w:spacing w:after="0" w:line="240" w:lineRule="auto"/>
      <w:ind w:left="249" w:hanging="249"/>
    </w:pPr>
  </w:style>
  <w:style w:type="paragraph" w:styleId="Nagwek1">
    <w:name w:val="heading 1"/>
    <w:basedOn w:val="Tytu"/>
    <w:next w:val="Normalny"/>
    <w:link w:val="Nagwek1Znak"/>
    <w:qFormat/>
    <w:rsid w:val="0006481B"/>
    <w:pPr>
      <w:pBdr>
        <w:bottom w:val="none" w:sz="0" w:space="0" w:color="auto"/>
      </w:pBdr>
      <w:spacing w:before="240" w:after="120"/>
      <w:ind w:left="0" w:firstLine="0"/>
      <w:contextualSpacing w:val="0"/>
      <w:jc w:val="center"/>
      <w:outlineLvl w:val="0"/>
    </w:pPr>
    <w:rPr>
      <w:rFonts w:asciiTheme="minorHAnsi" w:eastAsia="Times New Roman" w:hAnsiTheme="minorHAnsi" w:cstheme="minorHAnsi"/>
      <w:b/>
      <w:bCs/>
      <w:color w:val="auto"/>
      <w:spacing w:val="0"/>
      <w:kern w:val="1"/>
      <w:sz w:val="22"/>
      <w:szCs w:val="22"/>
      <w:lang w:eastAsia="zh-CN"/>
    </w:rPr>
  </w:style>
  <w:style w:type="paragraph" w:styleId="Nagwek2">
    <w:name w:val="heading 2"/>
    <w:basedOn w:val="Normalny"/>
    <w:next w:val="Normalny"/>
    <w:link w:val="Nagwek2Znak"/>
    <w:uiPriority w:val="9"/>
    <w:unhideWhenUsed/>
    <w:qFormat/>
    <w:rsid w:val="00BD47DC"/>
    <w:pPr>
      <w:keepNext/>
      <w:keepLines/>
      <w:suppressAutoHyphens/>
      <w:spacing w:before="480" w:line="360" w:lineRule="auto"/>
      <w:ind w:left="0" w:firstLine="0"/>
      <w:outlineLvl w:val="1"/>
    </w:pPr>
    <w:rPr>
      <w:rFonts w:eastAsiaTheme="majorEastAsia" w:cstheme="minorHAnsi"/>
      <w:b/>
      <w:bCs/>
      <w:sz w:val="24"/>
      <w:szCs w:val="24"/>
      <w:u w:val="single"/>
    </w:rPr>
  </w:style>
  <w:style w:type="paragraph" w:styleId="Nagwek3">
    <w:name w:val="heading 3"/>
    <w:basedOn w:val="Nagwek1"/>
    <w:next w:val="Normalny"/>
    <w:link w:val="Nagwek3Znak"/>
    <w:uiPriority w:val="9"/>
    <w:unhideWhenUsed/>
    <w:qFormat/>
    <w:rsid w:val="00BD47DC"/>
    <w:pPr>
      <w:keepNext/>
      <w:spacing w:line="360" w:lineRule="auto"/>
      <w:jc w:val="left"/>
      <w:outlineLvl w:val="2"/>
    </w:pPr>
  </w:style>
  <w:style w:type="paragraph" w:styleId="Nagwek4">
    <w:name w:val="heading 4"/>
    <w:basedOn w:val="Nagwek3"/>
    <w:next w:val="Normalny"/>
    <w:link w:val="Nagwek4Znak"/>
    <w:uiPriority w:val="9"/>
    <w:unhideWhenUsed/>
    <w:qFormat/>
    <w:rsid w:val="00BD47DC"/>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481B"/>
    <w:rPr>
      <w:rFonts w:eastAsia="Times New Roman" w:cstheme="minorHAnsi"/>
      <w:b/>
      <w:bCs/>
      <w:kern w:val="1"/>
      <w:lang w:eastAsia="zh-CN"/>
    </w:rPr>
  </w:style>
  <w:style w:type="character" w:customStyle="1" w:styleId="Nagwek2Znak">
    <w:name w:val="Nagłówek 2 Znak"/>
    <w:basedOn w:val="Domylnaczcionkaakapitu"/>
    <w:link w:val="Nagwek2"/>
    <w:uiPriority w:val="9"/>
    <w:rsid w:val="00BD47DC"/>
    <w:rPr>
      <w:rFonts w:eastAsiaTheme="majorEastAsia" w:cstheme="minorHAnsi"/>
      <w:b/>
      <w:bCs/>
      <w:sz w:val="24"/>
      <w:szCs w:val="24"/>
      <w:u w:val="single"/>
    </w:rPr>
  </w:style>
  <w:style w:type="character" w:customStyle="1" w:styleId="Nagwek3Znak">
    <w:name w:val="Nagłówek 3 Znak"/>
    <w:basedOn w:val="Domylnaczcionkaakapitu"/>
    <w:link w:val="Nagwek3"/>
    <w:uiPriority w:val="9"/>
    <w:rsid w:val="00BD47DC"/>
    <w:rPr>
      <w:rFonts w:eastAsia="Times New Roman" w:cstheme="minorHAnsi"/>
      <w:b/>
      <w:bCs/>
      <w:kern w:val="1"/>
      <w:lang w:eastAsia="zh-CN"/>
    </w:rPr>
  </w:style>
  <w:style w:type="character" w:customStyle="1" w:styleId="Nagwek4Znak">
    <w:name w:val="Nagłówek 4 Znak"/>
    <w:basedOn w:val="Domylnaczcionkaakapitu"/>
    <w:link w:val="Nagwek4"/>
    <w:uiPriority w:val="9"/>
    <w:rsid w:val="00BD47DC"/>
    <w:rPr>
      <w:rFonts w:eastAsia="Times New Roman" w:cstheme="minorHAnsi"/>
      <w:b/>
      <w:bCs/>
      <w:kern w:val="1"/>
      <w:lang w:eastAsia="zh-CN"/>
    </w:rPr>
  </w:style>
  <w:style w:type="paragraph" w:styleId="Stopka">
    <w:name w:val="footer"/>
    <w:basedOn w:val="Normalny"/>
    <w:link w:val="StopkaZnak"/>
    <w:uiPriority w:val="99"/>
    <w:unhideWhenUsed/>
    <w:rsid w:val="0006481B"/>
    <w:pPr>
      <w:tabs>
        <w:tab w:val="center" w:pos="4536"/>
        <w:tab w:val="right" w:pos="9072"/>
      </w:tabs>
    </w:pPr>
  </w:style>
  <w:style w:type="character" w:customStyle="1" w:styleId="StopkaZnak">
    <w:name w:val="Stopka Znak"/>
    <w:basedOn w:val="Domylnaczcionkaakapitu"/>
    <w:link w:val="Stopka"/>
    <w:uiPriority w:val="99"/>
    <w:rsid w:val="0006481B"/>
  </w:style>
  <w:style w:type="paragraph" w:styleId="Akapitzlist">
    <w:name w:val="List Paragraph"/>
    <w:basedOn w:val="Normalny"/>
    <w:link w:val="AkapitzlistZnak"/>
    <w:uiPriority w:val="1"/>
    <w:qFormat/>
    <w:rsid w:val="0006481B"/>
    <w:pPr>
      <w:ind w:left="720"/>
      <w:contextualSpacing/>
    </w:pPr>
  </w:style>
  <w:style w:type="character" w:styleId="Odwoaniedokomentarza">
    <w:name w:val="annotation reference"/>
    <w:basedOn w:val="Domylnaczcionkaakapitu"/>
    <w:uiPriority w:val="99"/>
    <w:semiHidden/>
    <w:unhideWhenUsed/>
    <w:rsid w:val="0006481B"/>
    <w:rPr>
      <w:sz w:val="16"/>
      <w:szCs w:val="16"/>
    </w:rPr>
  </w:style>
  <w:style w:type="paragraph" w:styleId="Tekstkomentarza">
    <w:name w:val="annotation text"/>
    <w:basedOn w:val="Normalny"/>
    <w:link w:val="TekstkomentarzaZnak"/>
    <w:uiPriority w:val="99"/>
    <w:unhideWhenUsed/>
    <w:rsid w:val="0006481B"/>
    <w:rPr>
      <w:sz w:val="20"/>
      <w:szCs w:val="20"/>
    </w:rPr>
  </w:style>
  <w:style w:type="character" w:customStyle="1" w:styleId="TekstkomentarzaZnak">
    <w:name w:val="Tekst komentarza Znak"/>
    <w:basedOn w:val="Domylnaczcionkaakapitu"/>
    <w:link w:val="Tekstkomentarza"/>
    <w:uiPriority w:val="99"/>
    <w:rsid w:val="0006481B"/>
    <w:rPr>
      <w:sz w:val="20"/>
      <w:szCs w:val="20"/>
    </w:rPr>
  </w:style>
  <w:style w:type="table" w:customStyle="1" w:styleId="Tabelasiatki1jasna1">
    <w:name w:val="Tabela siatki 1 — jasna1"/>
    <w:basedOn w:val="Standardowy"/>
    <w:uiPriority w:val="46"/>
    <w:rsid w:val="0006481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ny"/>
    <w:uiPriority w:val="1"/>
    <w:qFormat/>
    <w:rsid w:val="0006481B"/>
    <w:pPr>
      <w:widowControl w:val="0"/>
      <w:autoSpaceDE w:val="0"/>
      <w:autoSpaceDN w:val="0"/>
      <w:ind w:left="0" w:firstLine="0"/>
    </w:pPr>
    <w:rPr>
      <w:rFonts w:ascii="Calibri" w:eastAsia="Calibri" w:hAnsi="Calibri" w:cs="Calibri"/>
      <w:lang w:val="en-US"/>
    </w:rPr>
  </w:style>
  <w:style w:type="paragraph" w:styleId="Tytu">
    <w:name w:val="Title"/>
    <w:basedOn w:val="Normalny"/>
    <w:next w:val="Normalny"/>
    <w:link w:val="TytuZnak"/>
    <w:uiPriority w:val="10"/>
    <w:qFormat/>
    <w:rsid w:val="000648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6481B"/>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06481B"/>
    <w:rPr>
      <w:rFonts w:ascii="Tahoma" w:hAnsi="Tahoma" w:cs="Tahoma"/>
      <w:sz w:val="16"/>
      <w:szCs w:val="16"/>
    </w:rPr>
  </w:style>
  <w:style w:type="character" w:customStyle="1" w:styleId="TekstdymkaZnak">
    <w:name w:val="Tekst dymka Znak"/>
    <w:basedOn w:val="Domylnaczcionkaakapitu"/>
    <w:link w:val="Tekstdymka"/>
    <w:uiPriority w:val="99"/>
    <w:semiHidden/>
    <w:rsid w:val="0006481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05FDE"/>
    <w:rPr>
      <w:b/>
      <w:bCs/>
    </w:rPr>
  </w:style>
  <w:style w:type="character" w:customStyle="1" w:styleId="TematkomentarzaZnak">
    <w:name w:val="Temat komentarza Znak"/>
    <w:basedOn w:val="TekstkomentarzaZnak"/>
    <w:link w:val="Tematkomentarza"/>
    <w:uiPriority w:val="99"/>
    <w:semiHidden/>
    <w:rsid w:val="00005FDE"/>
    <w:rPr>
      <w:b/>
      <w:bCs/>
      <w:sz w:val="20"/>
      <w:szCs w:val="20"/>
    </w:rPr>
  </w:style>
  <w:style w:type="paragraph" w:styleId="Poprawka">
    <w:name w:val="Revision"/>
    <w:hidden/>
    <w:uiPriority w:val="99"/>
    <w:semiHidden/>
    <w:rsid w:val="00131DFC"/>
    <w:pPr>
      <w:spacing w:after="0" w:line="240" w:lineRule="auto"/>
    </w:pPr>
  </w:style>
  <w:style w:type="paragraph" w:customStyle="1" w:styleId="pktp">
    <w:name w:val="pkt_p"/>
    <w:basedOn w:val="Akapitzlist"/>
    <w:link w:val="pktpZnak"/>
    <w:qFormat/>
    <w:rsid w:val="00C90572"/>
    <w:pPr>
      <w:numPr>
        <w:numId w:val="6"/>
      </w:numPr>
      <w:tabs>
        <w:tab w:val="left" w:pos="567"/>
      </w:tabs>
      <w:suppressAutoHyphens/>
      <w:autoSpaceDE w:val="0"/>
      <w:spacing w:after="200" w:line="276" w:lineRule="auto"/>
    </w:pPr>
    <w:rPr>
      <w:rFonts w:cstheme="minorHAnsi"/>
      <w:bCs/>
    </w:rPr>
  </w:style>
  <w:style w:type="paragraph" w:customStyle="1" w:styleId="pktpp">
    <w:name w:val="pkt_pp"/>
    <w:basedOn w:val="Akapitzlist"/>
    <w:link w:val="pktppZnak"/>
    <w:qFormat/>
    <w:rsid w:val="00DA6E79"/>
    <w:pPr>
      <w:numPr>
        <w:ilvl w:val="1"/>
        <w:numId w:val="2"/>
      </w:numPr>
      <w:tabs>
        <w:tab w:val="left" w:pos="993"/>
      </w:tabs>
      <w:suppressAutoHyphens/>
      <w:spacing w:after="200" w:line="276" w:lineRule="auto"/>
    </w:pPr>
    <w:rPr>
      <w:rFonts w:cstheme="minorHAnsi"/>
      <w:lang w:val="en-US"/>
    </w:rPr>
  </w:style>
  <w:style w:type="character" w:customStyle="1" w:styleId="AkapitzlistZnak">
    <w:name w:val="Akapit z listą Znak"/>
    <w:basedOn w:val="Domylnaczcionkaakapitu"/>
    <w:link w:val="Akapitzlist"/>
    <w:uiPriority w:val="1"/>
    <w:rsid w:val="00BD47DC"/>
  </w:style>
  <w:style w:type="character" w:customStyle="1" w:styleId="pktpZnak">
    <w:name w:val="pkt_p Znak"/>
    <w:basedOn w:val="AkapitzlistZnak"/>
    <w:link w:val="pktp"/>
    <w:rsid w:val="00C90572"/>
    <w:rPr>
      <w:rFonts w:cstheme="minorHAnsi"/>
      <w:bCs/>
    </w:rPr>
  </w:style>
  <w:style w:type="paragraph" w:customStyle="1" w:styleId="pktppp">
    <w:name w:val="pkt_ppp"/>
    <w:basedOn w:val="Akapitzlist"/>
    <w:link w:val="pktpppZnak"/>
    <w:qFormat/>
    <w:rsid w:val="007B27F6"/>
    <w:pPr>
      <w:numPr>
        <w:ilvl w:val="2"/>
        <w:numId w:val="4"/>
      </w:numPr>
      <w:tabs>
        <w:tab w:val="left" w:pos="1276"/>
      </w:tabs>
      <w:suppressAutoHyphens/>
      <w:spacing w:after="200" w:line="276" w:lineRule="auto"/>
    </w:pPr>
    <w:rPr>
      <w:rFonts w:cstheme="minorHAnsi"/>
    </w:rPr>
  </w:style>
  <w:style w:type="character" w:customStyle="1" w:styleId="pktppZnak">
    <w:name w:val="pkt_pp Znak"/>
    <w:basedOn w:val="AkapitzlistZnak"/>
    <w:link w:val="pktpp"/>
    <w:rsid w:val="00DA6E79"/>
    <w:rPr>
      <w:rFonts w:cstheme="minorHAnsi"/>
      <w:lang w:val="en-US"/>
    </w:rPr>
  </w:style>
  <w:style w:type="paragraph" w:customStyle="1" w:styleId="pktpppp">
    <w:name w:val="pkt_pppp"/>
    <w:basedOn w:val="Akapitzlist"/>
    <w:link w:val="pktppppZnak"/>
    <w:qFormat/>
    <w:rsid w:val="007B27F6"/>
    <w:pPr>
      <w:numPr>
        <w:ilvl w:val="3"/>
        <w:numId w:val="4"/>
      </w:numPr>
      <w:suppressAutoHyphens/>
      <w:spacing w:after="200" w:line="276" w:lineRule="auto"/>
      <w:ind w:left="1560" w:hanging="284"/>
    </w:pPr>
    <w:rPr>
      <w:rFonts w:cstheme="minorHAnsi"/>
    </w:rPr>
  </w:style>
  <w:style w:type="character" w:customStyle="1" w:styleId="pktpppZnak">
    <w:name w:val="pkt_ppp Znak"/>
    <w:basedOn w:val="AkapitzlistZnak"/>
    <w:link w:val="pktppp"/>
    <w:rsid w:val="007B27F6"/>
    <w:rPr>
      <w:rFonts w:cstheme="minorHAnsi"/>
    </w:rPr>
  </w:style>
  <w:style w:type="character" w:customStyle="1" w:styleId="pktppppZnak">
    <w:name w:val="pkt_pppp Znak"/>
    <w:basedOn w:val="AkapitzlistZnak"/>
    <w:link w:val="pktpppp"/>
    <w:rsid w:val="007B27F6"/>
    <w:rPr>
      <w:rFonts w:cs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1094</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robert.mazurkiewicz</dc:creator>
  <cp:lastModifiedBy>monika.elceser</cp:lastModifiedBy>
  <cp:revision>9</cp:revision>
  <dcterms:created xsi:type="dcterms:W3CDTF">2022-07-20T11:24:00Z</dcterms:created>
  <dcterms:modified xsi:type="dcterms:W3CDTF">2022-11-18T11:42:00Z</dcterms:modified>
</cp:coreProperties>
</file>