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077C05" w:rsidRDefault="00077C05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C11C2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Pr="0063781B" w:rsidRDefault="002975EB" w:rsidP="00A408E6">
      <w:pPr>
        <w:spacing w:line="276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r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Zakup m</w:t>
      </w:r>
      <w:r w:rsidR="0069251D"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ateriałów biurowych </w:t>
      </w:r>
      <w:r w:rsidR="0063781B"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br/>
      </w:r>
      <w:r w:rsidR="00D82DEA"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na potrzeby zadań realizowanych przez Referat Głównego</w:t>
      </w:r>
      <w:r w:rsidR="00615B57"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Punktu Informacyjnego </w:t>
      </w:r>
      <w:r w:rsid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br/>
      </w:r>
      <w:r w:rsidR="00615B57"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o Funduszach </w:t>
      </w:r>
      <w:r w:rsidR="0063781B"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Europejskich </w:t>
      </w:r>
      <w:r w:rsidR="00562840"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DPO UMWO</w:t>
      </w:r>
      <w:r w:rsid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,</w:t>
      </w:r>
    </w:p>
    <w:p w:rsidR="00805928" w:rsidRPr="0063781B" w:rsidRDefault="00CF4801" w:rsidP="00A408E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w ramach </w:t>
      </w:r>
      <w:r w:rsidR="00562840"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Programu Operacyjnego Pomoc Techniczna </w:t>
      </w:r>
      <w:r w:rsidR="000D02F7" w:rsidRPr="0063781B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112149" w:rsidRDefault="00C231B0" w:rsidP="00C11C24">
      <w:pPr>
        <w:ind w:firstLine="708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>Uprzejmie pr</w:t>
      </w:r>
      <w:r w:rsidR="00112149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oszę o przedstawienie oferty na </w:t>
      </w:r>
      <w:r w:rsidR="002975E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zakup m</w:t>
      </w:r>
      <w:r w:rsidR="0069251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ateriałów biurowych </w:t>
      </w:r>
      <w:r w:rsidR="00FE6076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>
        <w:rPr>
          <w:rFonts w:asciiTheme="minorHAnsi" w:hAnsiTheme="minorHAnsi" w:cs="Times New Roman"/>
          <w:color w:val="auto"/>
          <w:sz w:val="20"/>
          <w:szCs w:val="20"/>
          <w:lang w:eastAsia="pl-PL"/>
        </w:rPr>
        <w:t>F</w:t>
      </w:r>
      <w:r w:rsidR="00FE6076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u</w:t>
      </w:r>
      <w:r w:rsidR="00A408E6">
        <w:rPr>
          <w:rFonts w:asciiTheme="minorHAnsi" w:hAnsiTheme="minorHAnsi" w:cs="Times New Roman"/>
          <w:color w:val="auto"/>
          <w:sz w:val="20"/>
          <w:szCs w:val="20"/>
          <w:lang w:eastAsia="pl-PL"/>
        </w:rPr>
        <w:t>nduszach Europejskich DPO UMWO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br/>
      </w:r>
      <w:r w:rsidR="00FE6076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w ramach Programu Operacyjnego Pomoc Techniczna 2014-2020</w:t>
      </w:r>
      <w:r w:rsidR="00FE6076" w:rsidRPr="009D3665">
        <w:rPr>
          <w:rFonts w:asciiTheme="minorHAnsi" w:hAnsiTheme="minorHAnsi"/>
          <w:sz w:val="20"/>
          <w:szCs w:val="20"/>
        </w:rPr>
        <w:t xml:space="preserve">, </w:t>
      </w:r>
      <w:r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zgodnie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z Zał</w:t>
      </w:r>
      <w:r w:rsidR="0069251D">
        <w:rPr>
          <w:rFonts w:asciiTheme="minorHAnsi" w:hAnsiTheme="minorHAnsi" w:cs="Times New Roman"/>
          <w:color w:val="auto"/>
          <w:sz w:val="20"/>
          <w:szCs w:val="20"/>
          <w:lang w:eastAsia="pl-PL"/>
        </w:rPr>
        <w:t>ącznikiem nr 1 do Ogłoszenia – O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pisem technicznym.</w:t>
      </w:r>
    </w:p>
    <w:p w:rsidR="00A408E6" w:rsidRPr="009D3665" w:rsidRDefault="00A408E6" w:rsidP="00A408E6">
      <w:pPr>
        <w:spacing w:line="240" w:lineRule="auto"/>
        <w:ind w:firstLine="708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0118F7" w:rsidRPr="00A408E6" w:rsidRDefault="00112149" w:rsidP="00A408E6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9D3665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9D366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stanowi </w:t>
      </w:r>
      <w:r w:rsidR="008C00B7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Opis techniczny</w:t>
      </w:r>
      <w:r w:rsidR="009D3665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, </w:t>
      </w:r>
      <w:r w:rsidR="00E97B8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będący</w:t>
      </w:r>
      <w:r w:rsidR="00C5687C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Z</w:t>
      </w:r>
      <w:r w:rsidR="008C00B7"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ałącznik</w:t>
      </w:r>
      <w:r w:rsidR="00E97B8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iem</w:t>
      </w:r>
      <w:r w:rsidR="00C5687C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nr 1 do niniejszego O</w:t>
      </w:r>
      <w:r w:rsidRPr="009D3665">
        <w:rPr>
          <w:rFonts w:asciiTheme="minorHAnsi" w:hAnsiTheme="minorHAnsi" w:cs="Times New Roman"/>
          <w:color w:val="auto"/>
          <w:sz w:val="20"/>
          <w:szCs w:val="20"/>
          <w:lang w:eastAsia="pl-PL"/>
        </w:rPr>
        <w:t>głoszenia.</w:t>
      </w:r>
    </w:p>
    <w:p w:rsidR="008A7768" w:rsidRPr="00A408E6" w:rsidRDefault="00112149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oraz opis sposobu dokonywania oceny ich spełniania, przy czym stawianie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8A7768" w:rsidRPr="00A408E6" w:rsidRDefault="00630C71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630C71" w:rsidRPr="00B8673A" w:rsidRDefault="00630C71" w:rsidP="00C11C2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Pr="00C11C24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>x</w:t>
      </w:r>
      <w:r w:rsidR="00F7257F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Pr="00A408E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B9683B" w:rsidRDefault="00B9683B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Pr="006B73DE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E4704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10</w:t>
      </w:r>
      <w:r w:rsidR="0069251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grudnia</w:t>
      </w:r>
      <w:r w:rsidR="00E4704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2021</w:t>
      </w:r>
      <w:r w:rsidR="00AA17C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 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B3342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19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</w:t>
      </w:r>
      <w:r w:rsidR="00B3342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</w:t>
      </w:r>
      <w:r w:rsidR="006B798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 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315B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pacing w:val="-2"/>
          <w:sz w:val="20"/>
          <w:szCs w:val="20"/>
        </w:rPr>
      </w:pPr>
      <w:r w:rsidRPr="00315B34">
        <w:rPr>
          <w:rFonts w:asciiTheme="minorHAnsi" w:hAnsiTheme="minorHAnsi" w:cs="Times New Roman"/>
          <w:b/>
          <w:bCs/>
          <w:spacing w:val="-2"/>
          <w:sz w:val="20"/>
          <w:szCs w:val="20"/>
        </w:rPr>
        <w:t xml:space="preserve">O zachowaniu terminu dostarczenia oferty decyduje data wpływu </w:t>
      </w:r>
      <w:r w:rsidR="00B06E7E" w:rsidRPr="00315B34">
        <w:rPr>
          <w:rFonts w:asciiTheme="minorHAnsi" w:hAnsiTheme="minorHAnsi" w:cs="Times New Roman"/>
          <w:b/>
          <w:bCs/>
          <w:spacing w:val="-2"/>
          <w:sz w:val="20"/>
          <w:szCs w:val="20"/>
        </w:rPr>
        <w:t xml:space="preserve">maila na skrzynkę </w:t>
      </w:r>
      <w:r w:rsidR="00315B34" w:rsidRPr="00315B34">
        <w:rPr>
          <w:rFonts w:asciiTheme="minorHAnsi" w:hAnsiTheme="minorHAnsi" w:cs="Times New Roman"/>
          <w:b/>
          <w:bCs/>
          <w:spacing w:val="-2"/>
          <w:sz w:val="20"/>
          <w:szCs w:val="20"/>
        </w:rPr>
        <w:t xml:space="preserve">mailową </w:t>
      </w:r>
      <w:r w:rsidR="00B06E7E" w:rsidRPr="00315B34">
        <w:rPr>
          <w:rFonts w:asciiTheme="minorHAnsi" w:hAnsiTheme="minorHAnsi" w:cs="Times New Roman"/>
          <w:b/>
          <w:bCs/>
          <w:spacing w:val="-2"/>
          <w:sz w:val="20"/>
          <w:szCs w:val="20"/>
        </w:rPr>
        <w:t>Zamawiającego.</w:t>
      </w:r>
    </w:p>
    <w:p w:rsidR="00315B34" w:rsidRPr="00315B34" w:rsidRDefault="00315B34" w:rsidP="00B06E7E">
      <w:pPr>
        <w:spacing w:after="200"/>
        <w:ind w:left="426"/>
        <w:rPr>
          <w:rFonts w:asciiTheme="minorHAnsi" w:hAnsiTheme="minorHAnsi" w:cs="Times New Roman"/>
          <w:b/>
          <w:bCs/>
          <w:spacing w:val="-2"/>
          <w:sz w:val="20"/>
          <w:szCs w:val="20"/>
        </w:rPr>
      </w:pPr>
    </w:p>
    <w:p w:rsidR="00FE2880" w:rsidRPr="00FE2880" w:rsidRDefault="00C231B0" w:rsidP="00FE2880">
      <w:pPr>
        <w:pStyle w:val="Akapitzlist"/>
        <w:numPr>
          <w:ilvl w:val="0"/>
          <w:numId w:val="5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C11C24"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przedstawione na formularzu</w:t>
      </w:r>
      <w:r w:rsidR="0040365D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ofertowym</w:t>
      </w:r>
      <w:r w:rsidR="00C5687C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, stanowiącym Załącznik nr 2 do Ogłoszenia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AE17C1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450E9F" w:rsidRPr="00AE17C1" w:rsidRDefault="00450E9F" w:rsidP="00AE17C1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</w:t>
      </w:r>
      <w:bookmarkStart w:id="0" w:name="_GoBack"/>
      <w:bookmarkEnd w:id="0"/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7B00"/>
    <w:rsid w:val="00077C05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15B34"/>
    <w:rsid w:val="00325BD4"/>
    <w:rsid w:val="003316D6"/>
    <w:rsid w:val="00350001"/>
    <w:rsid w:val="003673A4"/>
    <w:rsid w:val="003909CB"/>
    <w:rsid w:val="00400491"/>
    <w:rsid w:val="00403471"/>
    <w:rsid w:val="0040365D"/>
    <w:rsid w:val="00417F6E"/>
    <w:rsid w:val="00450E9F"/>
    <w:rsid w:val="004904C1"/>
    <w:rsid w:val="004B0B6B"/>
    <w:rsid w:val="004C762D"/>
    <w:rsid w:val="004D1C95"/>
    <w:rsid w:val="005508EE"/>
    <w:rsid w:val="00554428"/>
    <w:rsid w:val="005625FA"/>
    <w:rsid w:val="00562840"/>
    <w:rsid w:val="005F0228"/>
    <w:rsid w:val="00615B57"/>
    <w:rsid w:val="00620F98"/>
    <w:rsid w:val="00630C71"/>
    <w:rsid w:val="00634A34"/>
    <w:rsid w:val="0063781B"/>
    <w:rsid w:val="00641526"/>
    <w:rsid w:val="006451C9"/>
    <w:rsid w:val="00672260"/>
    <w:rsid w:val="0069251D"/>
    <w:rsid w:val="006B73DE"/>
    <w:rsid w:val="006B798C"/>
    <w:rsid w:val="006B7AE6"/>
    <w:rsid w:val="006D12D0"/>
    <w:rsid w:val="006D6674"/>
    <w:rsid w:val="006F4D6A"/>
    <w:rsid w:val="00703258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17C3"/>
    <w:rsid w:val="00AA63CA"/>
    <w:rsid w:val="00AE17C1"/>
    <w:rsid w:val="00B06E7E"/>
    <w:rsid w:val="00B31AF8"/>
    <w:rsid w:val="00B33427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506B0"/>
    <w:rsid w:val="00D82DEA"/>
    <w:rsid w:val="00E133F7"/>
    <w:rsid w:val="00E209B4"/>
    <w:rsid w:val="00E2305C"/>
    <w:rsid w:val="00E41322"/>
    <w:rsid w:val="00E4704A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7257F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Natalia Gadzicka</cp:lastModifiedBy>
  <cp:revision>16</cp:revision>
  <cp:lastPrinted>2021-11-10T10:23:00Z</cp:lastPrinted>
  <dcterms:created xsi:type="dcterms:W3CDTF">2020-11-03T14:04:00Z</dcterms:created>
  <dcterms:modified xsi:type="dcterms:W3CDTF">2021-11-10T11:13:00Z</dcterms:modified>
</cp:coreProperties>
</file>