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60" w:after="60"/>
        <w:rPr>
          <w:rFonts w:ascii="Arial" w:hAnsi="Arial" w:cs="Arial"/>
          <w:sz w:val="24"/>
          <w:szCs w:val="24"/>
        </w:rPr>
      </w:pPr>
      <w:r>
        <w:rPr>
          <w:rFonts w:cs="Arial" w:ascii="Arial" w:hAnsi="Arial"/>
          <w:sz w:val="24"/>
          <w:szCs w:val="24"/>
        </w:rPr>
      </w:r>
    </w:p>
    <w:p>
      <w:pPr>
        <w:pStyle w:val="Normal"/>
        <w:spacing w:lineRule="auto" w:line="276" w:before="60" w:after="60"/>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jc w:val="center"/>
        <w:rPr>
          <w:rFonts w:ascii="Arial" w:hAnsi="Arial" w:cs="Arial"/>
          <w:b/>
          <w:b/>
          <w:caps/>
          <w:sz w:val="24"/>
          <w:szCs w:val="24"/>
          <w:lang w:eastAsia="ar-SA"/>
        </w:rPr>
      </w:pPr>
      <w:r>
        <w:rPr>
          <w:rFonts w:cs="Arial" w:ascii="Arial" w:hAnsi="Arial"/>
          <w:b/>
          <w:caps/>
          <w:sz w:val="24"/>
          <w:szCs w:val="24"/>
          <w:lang w:eastAsia="ar-SA"/>
        </w:rPr>
        <w:t>MINISTER ROLNICTWA I ROZWOJU WSI</w:t>
      </w:r>
    </w:p>
    <w:p>
      <w:pPr>
        <w:pStyle w:val="Normal"/>
        <w:spacing w:lineRule="auto" w:line="276" w:before="60" w:after="60"/>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jc w:val="center"/>
        <w:rPr>
          <w:rFonts w:ascii="Arial" w:hAnsi="Arial" w:cs="Arial"/>
          <w:b/>
          <w:b/>
          <w:bCs/>
          <w:sz w:val="24"/>
          <w:szCs w:val="24"/>
          <w:u w:val="single"/>
          <w:lang w:eastAsia="ar-SA"/>
        </w:rPr>
      </w:pPr>
      <w:r>
        <w:rPr>
          <w:rFonts w:cs="Arial" w:ascii="Arial" w:hAnsi="Arial"/>
          <w:b/>
          <w:bCs/>
          <w:sz w:val="24"/>
          <w:szCs w:val="24"/>
          <w:lang w:eastAsia="ar-SA"/>
        </w:rPr>
        <w:t>Regulamin Konkursu nr 5/2021 dla Partnerów</w:t>
      </w:r>
      <w:bookmarkStart w:id="0" w:name="move500158119"/>
      <w:bookmarkEnd w:id="0"/>
    </w:p>
    <w:p>
      <w:pPr>
        <w:pStyle w:val="Normal"/>
        <w:spacing w:lineRule="auto" w:line="276" w:before="60" w:after="60"/>
        <w:jc w:val="center"/>
        <w:rPr>
          <w:rFonts w:ascii="Arial" w:hAnsi="Arial" w:cs="Arial"/>
        </w:rPr>
      </w:pPr>
      <w:r>
        <w:rPr>
          <w:rFonts w:cs="Arial" w:ascii="Arial" w:hAnsi="Arial"/>
          <w:b/>
          <w:bCs/>
          <w:sz w:val="24"/>
          <w:szCs w:val="24"/>
          <w:lang w:eastAsia="ar-SA"/>
        </w:rPr>
        <w:t xml:space="preserve">Krajowej Sieci Obszarów Wiejskich </w:t>
      </w:r>
    </w:p>
    <w:p>
      <w:pPr>
        <w:pStyle w:val="Normal"/>
        <w:spacing w:lineRule="auto" w:line="276" w:before="60" w:after="60"/>
        <w:ind w:left="0" w:hanging="0"/>
        <w:jc w:val="center"/>
        <w:rPr>
          <w:rFonts w:ascii="Arial" w:hAnsi="Arial" w:cs="Arial"/>
        </w:rPr>
      </w:pPr>
      <w:r>
        <w:rPr>
          <w:rFonts w:cs="Arial" w:ascii="Arial" w:hAnsi="Arial"/>
          <w:b/>
          <w:bCs/>
          <w:sz w:val="24"/>
          <w:szCs w:val="24"/>
          <w:lang w:eastAsia="ar-SA"/>
        </w:rPr>
        <w:t>w ramach Programu Rozwoju Obszarów Wiejskich</w:t>
      </w:r>
      <w:r>
        <w:rPr>
          <w:rFonts w:cs="Arial" w:ascii="Arial" w:hAnsi="Arial"/>
        </w:rPr>
        <w:t xml:space="preserve"> </w:t>
      </w:r>
      <w:r>
        <w:rPr>
          <w:rFonts w:cs="Arial" w:ascii="Arial" w:hAnsi="Arial"/>
          <w:b/>
          <w:bCs/>
          <w:sz w:val="24"/>
          <w:szCs w:val="24"/>
          <w:lang w:eastAsia="ar-SA"/>
        </w:rPr>
        <w:t>na lata 2014–2020</w:t>
      </w:r>
    </w:p>
    <w:p>
      <w:pPr>
        <w:pStyle w:val="Normal"/>
        <w:spacing w:lineRule="auto" w:line="276" w:before="60" w:after="60"/>
        <w:jc w:val="center"/>
        <w:rPr>
          <w:rFonts w:ascii="Arial" w:hAnsi="Arial" w:cs="Arial"/>
        </w:rPr>
      </w:pPr>
      <w:r>
        <w:rPr>
          <w:rFonts w:cs="Arial" w:ascii="Arial" w:hAnsi="Arial"/>
          <w:b/>
          <w:sz w:val="24"/>
          <w:szCs w:val="24"/>
          <w:lang w:eastAsia="ar-SA"/>
        </w:rPr>
        <w:t>Plan operacyjny na lata 2020–2021</w:t>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jc w:val="center"/>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ind w:left="284" w:hanging="0"/>
        <w:jc w:val="both"/>
        <w:rPr>
          <w:rFonts w:ascii="Arial" w:hAnsi="Arial" w:cs="Arial"/>
          <w:i/>
          <w:i/>
          <w:sz w:val="24"/>
          <w:szCs w:val="24"/>
          <w:lang w:eastAsia="ar-SA"/>
        </w:rPr>
      </w:pPr>
      <w:r>
        <w:rPr>
          <w:rFonts w:cs="Arial" w:ascii="Arial" w:hAnsi="Arial"/>
          <w:i/>
          <w:sz w:val="24"/>
          <w:szCs w:val="24"/>
          <w:lang w:eastAsia="ar-SA"/>
        </w:rPr>
        <w:t>Regulamin konkursu został przygotowany w celu przedstawienia procedury składania wniosków oraz dokonywania oceny i wyboru operacji finansowanych ze środków Krajowej Sieci Obszarów Wiejskich objętej Programem Rozwoju Obszarów Wiejskich na lata 2014–2020. Dokument został opracowany na podstawie obowiązujących przepisów prawa krajowego i unijnego.</w:t>
      </w:r>
      <w:r>
        <w:rPr>
          <w:rFonts w:cs="Arial" w:ascii="Arial" w:hAnsi="Arial"/>
          <w:i/>
          <w:iCs/>
          <w:sz w:val="24"/>
          <w:szCs w:val="24"/>
          <w:lang w:eastAsia="ar-SA"/>
        </w:rPr>
        <w:t xml:space="preserve"> Jakiekolwiek rozbieżności pomiędzy tym dokumentem a przepisami prawa rozstrzygać należy na rzecz przepisów prawa.</w:t>
      </w:r>
    </w:p>
    <w:p>
      <w:pPr>
        <w:pStyle w:val="Normal"/>
        <w:spacing w:lineRule="auto" w:line="276" w:before="60" w:after="60"/>
        <w:jc w:val="center"/>
        <w:rPr>
          <w:rFonts w:ascii="Arial" w:hAnsi="Arial" w:cs="Arial"/>
        </w:rPr>
      </w:pPr>
      <w:r>
        <w:rPr>
          <w:rFonts w:cs="Arial" w:ascii="Arial" w:hAnsi="Arial"/>
        </w:rPr>
      </w:r>
    </w:p>
    <w:p>
      <w:pPr>
        <w:pStyle w:val="Normal"/>
        <w:spacing w:lineRule="auto" w:line="276" w:before="60" w:after="60"/>
        <w:jc w:val="center"/>
        <w:rPr>
          <w:rFonts w:ascii="Arial" w:hAnsi="Arial" w:cs="Arial"/>
        </w:rPr>
      </w:pPr>
      <w:r>
        <w:rPr>
          <w:rFonts w:cs="Arial" w:ascii="Arial" w:hAnsi="Arial"/>
          <w:b/>
          <w:caps/>
          <w:sz w:val="24"/>
          <w:szCs w:val="24"/>
          <w:lang w:eastAsia="ar-SA"/>
        </w:rPr>
        <w:t>§ 1.</w:t>
      </w:r>
    </w:p>
    <w:p>
      <w:pPr>
        <w:pStyle w:val="Normal"/>
        <w:spacing w:lineRule="auto" w:line="276" w:before="60" w:after="60"/>
        <w:ind w:left="357" w:hanging="357"/>
        <w:jc w:val="center"/>
        <w:rPr>
          <w:rFonts w:ascii="Arial" w:hAnsi="Arial" w:cs="Arial"/>
          <w:b/>
          <w:b/>
          <w:sz w:val="24"/>
          <w:szCs w:val="24"/>
          <w:lang w:eastAsia="ar-SA"/>
        </w:rPr>
      </w:pPr>
      <w:r>
        <w:rPr>
          <w:rFonts w:cs="Arial" w:ascii="Arial" w:hAnsi="Arial"/>
          <w:b/>
          <w:sz w:val="24"/>
          <w:szCs w:val="24"/>
          <w:lang w:eastAsia="ar-SA"/>
        </w:rPr>
        <w:t>Słowniczek pojęć i wykaz skrótów używanych w Regulaminie</w:t>
      </w:r>
    </w:p>
    <w:p>
      <w:pPr>
        <w:pStyle w:val="Normal"/>
        <w:spacing w:lineRule="auto" w:line="276" w:before="60" w:after="60"/>
        <w:ind w:left="1430" w:hanging="0"/>
        <w:jc w:val="both"/>
        <w:rPr>
          <w:rFonts w:ascii="Arial" w:hAnsi="Arial" w:cs="Arial"/>
          <w:sz w:val="24"/>
          <w:szCs w:val="24"/>
          <w:lang w:eastAsia="ar-SA"/>
        </w:rPr>
      </w:pPr>
      <w:r>
        <w:rPr>
          <w:rFonts w:cs="Arial" w:ascii="Arial" w:hAnsi="Arial"/>
          <w:sz w:val="24"/>
          <w:szCs w:val="24"/>
          <w:lang w:eastAsia="ar-SA"/>
        </w:rPr>
      </w:r>
    </w:p>
    <w:p>
      <w:pPr>
        <w:pStyle w:val="Normal"/>
        <w:numPr>
          <w:ilvl w:val="0"/>
          <w:numId w:val="2"/>
        </w:numPr>
        <w:spacing w:lineRule="auto" w:line="276" w:before="60" w:after="60"/>
        <w:ind w:left="709" w:hanging="425"/>
        <w:jc w:val="both"/>
        <w:rPr>
          <w:rFonts w:ascii="Arial" w:hAnsi="Arial" w:cs="Arial"/>
          <w:b/>
          <w:b/>
          <w:sz w:val="24"/>
          <w:szCs w:val="24"/>
          <w:lang w:eastAsia="ar-SA"/>
        </w:rPr>
      </w:pPr>
      <w:r>
        <w:rPr>
          <w:rFonts w:cs="Arial" w:ascii="Arial" w:hAnsi="Arial"/>
          <w:b/>
          <w:sz w:val="24"/>
          <w:szCs w:val="24"/>
        </w:rPr>
        <w:t xml:space="preserve">dni robocze </w:t>
      </w:r>
      <w:r>
        <w:rPr>
          <w:rFonts w:cs="Arial" w:ascii="Arial" w:hAnsi="Arial"/>
          <w:bCs/>
          <w:sz w:val="24"/>
          <w:szCs w:val="24"/>
        </w:rPr>
        <w:t xml:space="preserve">– </w:t>
      </w:r>
      <w:r>
        <w:rPr>
          <w:rFonts w:cs="Arial" w:ascii="Arial" w:hAnsi="Arial"/>
          <w:sz w:val="24"/>
          <w:szCs w:val="24"/>
        </w:rPr>
        <w:t xml:space="preserve">dni kalendarzowe z wyłączeniem sobót i dni ustawowo wolnych od pracy z wyjątkiem sobót stanowiących dni robocze na podstawie przepisów szczególnych; </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dwuletni plan operacyjny </w:t>
      </w:r>
      <w:r>
        <w:rPr>
          <w:rFonts w:cs="Arial" w:ascii="Arial" w:hAnsi="Arial"/>
          <w:sz w:val="24"/>
          <w:szCs w:val="24"/>
          <w:lang w:eastAsia="ar-SA"/>
        </w:rPr>
        <w:t>–</w:t>
      </w:r>
      <w:r>
        <w:rPr>
          <w:rFonts w:cs="Arial" w:ascii="Arial" w:hAnsi="Arial"/>
          <w:b/>
          <w:sz w:val="24"/>
          <w:szCs w:val="24"/>
          <w:lang w:eastAsia="ar-SA"/>
        </w:rPr>
        <w:t xml:space="preserve"> </w:t>
      </w:r>
      <w:r>
        <w:rPr>
          <w:rFonts w:cs="Arial" w:ascii="Arial" w:hAnsi="Arial"/>
          <w:sz w:val="24"/>
          <w:szCs w:val="24"/>
          <w:lang w:eastAsia="ar-SA"/>
        </w:rPr>
        <w:t>jeden z dwuletnich planów, na podstawie których realizowane są operacje w ramach działań określonych w Planie działania KSOW na lata 2014–2020;</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EFRROW</w:t>
      </w:r>
      <w:r>
        <w:rPr>
          <w:rFonts w:cs="Arial" w:ascii="Arial" w:hAnsi="Arial"/>
          <w:sz w:val="24"/>
          <w:szCs w:val="24"/>
          <w:lang w:eastAsia="ar-SA"/>
        </w:rPr>
        <w:t xml:space="preserve"> – Europejski Fundusz Rolny na rzecz Rozwoju Obszarów Wiejskich; </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Grupa Robocza ds. KSOW</w:t>
      </w:r>
      <w:r>
        <w:rPr>
          <w:rFonts w:cs="Arial" w:ascii="Arial" w:hAnsi="Arial"/>
          <w:sz w:val="24"/>
          <w:szCs w:val="24"/>
          <w:lang w:eastAsia="ar-SA"/>
        </w:rPr>
        <w:t xml:space="preserve"> – organ pomocniczy Ministra Rolnictwa i Rozwoju Wsi w zakresie funkcjonowania KSOW, powołany na mocy art. 57 ust. 1 ustawy z dnia 20 lutego 2015 r. o wspieraniu rozwoju obszarów wiejskich z udziałem środków Europejskiego Funduszu Rolnego na rzecz Rozwoju Obszarów Wiejskich (ustawa ROW);</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Instytucja Zarządzająca </w:t>
      </w:r>
      <w:r>
        <w:rPr>
          <w:rFonts w:cs="Arial" w:ascii="Arial" w:hAnsi="Arial"/>
          <w:sz w:val="24"/>
          <w:szCs w:val="24"/>
          <w:lang w:eastAsia="ar-SA"/>
        </w:rPr>
        <w:t>– instytucja zarządzająca PROW na lata 2014-2020 w rozumieniu art. 65 ust. 2 lit. a rozporządzenia nr 1305/2013, którą jest Minister Rolnictwa i Rozwoju Wsi;</w:t>
      </w:r>
    </w:p>
    <w:p>
      <w:pPr>
        <w:pStyle w:val="Normal"/>
        <w:numPr>
          <w:ilvl w:val="0"/>
          <w:numId w:val="2"/>
        </w:numPr>
        <w:spacing w:lineRule="auto" w:line="276" w:before="60" w:after="60"/>
        <w:ind w:left="709" w:hanging="425"/>
        <w:jc w:val="both"/>
        <w:rPr>
          <w:rFonts w:ascii="Arial" w:hAnsi="Arial" w:cs="Arial"/>
          <w:sz w:val="24"/>
          <w:szCs w:val="24"/>
          <w:lang w:eastAsia="ar-SA"/>
        </w:rPr>
      </w:pPr>
      <w:r>
        <w:rPr>
          <w:rFonts w:cs="Arial" w:ascii="Arial" w:hAnsi="Arial"/>
          <w:b/>
          <w:sz w:val="24"/>
          <w:szCs w:val="24"/>
          <w:lang w:eastAsia="ar-SA"/>
        </w:rPr>
        <w:t xml:space="preserve">jednostka centralna </w:t>
      </w:r>
      <w:r>
        <w:rPr>
          <w:rFonts w:cs="Arial" w:ascii="Arial" w:hAnsi="Arial"/>
          <w:b/>
          <w:bCs/>
          <w:sz w:val="24"/>
          <w:szCs w:val="24"/>
          <w:lang w:eastAsia="ar-SA"/>
        </w:rPr>
        <w:softHyphen/>
        <w:t>–</w:t>
      </w:r>
      <w:r>
        <w:rPr>
          <w:rFonts w:cs="Arial" w:ascii="Arial" w:hAnsi="Arial"/>
          <w:b/>
          <w:sz w:val="24"/>
          <w:szCs w:val="24"/>
          <w:lang w:eastAsia="ar-SA"/>
        </w:rPr>
        <w:t xml:space="preserve">  </w:t>
      </w:r>
      <w:r>
        <w:rPr>
          <w:rFonts w:cs="Arial" w:ascii="Arial" w:hAnsi="Arial"/>
          <w:sz w:val="24"/>
          <w:szCs w:val="24"/>
          <w:lang w:eastAsia="ar-SA"/>
        </w:rPr>
        <w:t xml:space="preserve">jednostka, o której mowa w art. 55 ust. 1 pkt 1 ustawy ROW; </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jednostki regionalne </w:t>
      </w:r>
      <w:r>
        <w:rPr>
          <w:rFonts w:cs="Arial" w:ascii="Arial" w:hAnsi="Arial"/>
          <w:sz w:val="24"/>
          <w:szCs w:val="24"/>
          <w:lang w:eastAsia="ar-SA"/>
        </w:rPr>
        <w:t>– jednostki, o których mowa w art. 55 ust. 1 pkt 2 ustawy ROW, których zadania wykonują samorządy województw (SW) l</w:t>
      </w:r>
      <w:r>
        <w:rPr>
          <w:rFonts w:cs="Arial" w:ascii="Arial" w:hAnsi="Arial"/>
          <w:sz w:val="24"/>
          <w:szCs w:val="24"/>
        </w:rPr>
        <w:t>ub którym SW powierzyły wykonywanie tych zadań – w przypadku operacji realizowanych w zakresie dotyczącym województwa;</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KSOW </w:t>
      </w:r>
      <w:r>
        <w:rPr>
          <w:rFonts w:cs="Arial" w:ascii="Arial" w:hAnsi="Arial"/>
          <w:sz w:val="24"/>
          <w:szCs w:val="24"/>
          <w:lang w:eastAsia="ar-SA"/>
        </w:rPr>
        <w:t>–</w:t>
        <w:softHyphen/>
      </w:r>
      <w:r>
        <w:rPr>
          <w:rFonts w:cs="Arial" w:ascii="Arial" w:hAnsi="Arial"/>
          <w:b/>
          <w:sz w:val="24"/>
          <w:szCs w:val="24"/>
          <w:lang w:eastAsia="ar-SA"/>
        </w:rPr>
        <w:t xml:space="preserve"> </w:t>
      </w:r>
      <w:r>
        <w:rPr>
          <w:rFonts w:cs="Arial" w:ascii="Arial" w:hAnsi="Arial"/>
          <w:sz w:val="24"/>
          <w:szCs w:val="24"/>
          <w:lang w:eastAsia="ar-SA"/>
        </w:rPr>
        <w:t>Krajowa Sieć Obszarów Wiejskich w ramach Programu Rozwoju Obszarów Wiejskich na lata 2014–2020, o której mowa w art. 54 ust. 1 rozporządzenia nr 1305/2013;</w:t>
      </w:r>
    </w:p>
    <w:p>
      <w:pPr>
        <w:pStyle w:val="Normal"/>
        <w:numPr>
          <w:ilvl w:val="0"/>
          <w:numId w:val="2"/>
        </w:numPr>
        <w:spacing w:lineRule="auto" w:line="276" w:before="60" w:after="60"/>
        <w:ind w:left="709" w:hanging="425"/>
        <w:rPr>
          <w:rFonts w:ascii="Arial" w:hAnsi="Arial" w:cs="Arial"/>
        </w:rPr>
      </w:pPr>
      <w:r>
        <w:rPr>
          <w:rFonts w:cs="Arial" w:ascii="Arial" w:hAnsi="Arial"/>
          <w:b/>
          <w:sz w:val="24"/>
          <w:szCs w:val="24"/>
          <w:lang w:eastAsia="ar-SA"/>
        </w:rPr>
        <w:t xml:space="preserve">MRiRW </w:t>
      </w:r>
      <w:r>
        <w:rPr>
          <w:rFonts w:cs="Arial" w:ascii="Arial" w:hAnsi="Arial"/>
          <w:sz w:val="24"/>
          <w:szCs w:val="24"/>
          <w:lang w:eastAsia="ar-SA"/>
        </w:rPr>
        <w:t>– Ministerstwo Rolnictwa i Rozwoju Wsi;</w:t>
      </w:r>
    </w:p>
    <w:p>
      <w:pPr>
        <w:pStyle w:val="Normal"/>
        <w:numPr>
          <w:ilvl w:val="0"/>
          <w:numId w:val="2"/>
        </w:numPr>
        <w:spacing w:lineRule="auto" w:line="276" w:before="60" w:after="60"/>
        <w:ind w:left="709" w:hanging="425"/>
        <w:jc w:val="both"/>
        <w:rPr>
          <w:rFonts w:ascii="Arial" w:hAnsi="Arial" w:cs="Arial"/>
          <w:sz w:val="24"/>
          <w:szCs w:val="24"/>
        </w:rPr>
      </w:pPr>
      <w:r>
        <w:rPr>
          <w:rFonts w:cs="Arial" w:ascii="Arial" w:hAnsi="Arial"/>
          <w:b/>
          <w:sz w:val="24"/>
          <w:szCs w:val="24"/>
        </w:rPr>
        <w:t>obszary wiejskie</w:t>
      </w:r>
      <w:r>
        <w:rPr>
          <w:rFonts w:cs="Arial" w:ascii="Arial" w:hAnsi="Arial"/>
          <w:sz w:val="24"/>
          <w:szCs w:val="24"/>
        </w:rPr>
        <w:t xml:space="preserve"> – gminy wiejskie lub gminy miejsko-wiejskie, z wyłączeniem miast liczących powyżej 5 tys. mieszkańców, lub gminy miejskie z wyłączeniem miejscowości liczących powyżej 5 tys. mieszkańców;</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rPr>
        <w:t xml:space="preserve">ocena wniosku </w:t>
      </w:r>
      <w:r>
        <w:rPr>
          <w:rFonts w:cs="Arial" w:ascii="Arial" w:hAnsi="Arial"/>
          <w:bCs/>
          <w:sz w:val="24"/>
          <w:szCs w:val="24"/>
        </w:rPr>
        <w:softHyphen/>
        <w:t>–</w:t>
      </w:r>
      <w:r>
        <w:rPr>
          <w:rFonts w:cs="Arial" w:ascii="Arial" w:hAnsi="Arial"/>
          <w:sz w:val="24"/>
          <w:szCs w:val="24"/>
        </w:rPr>
        <w:t xml:space="preserve"> ocena spełnienia wymogów formalnych oraz warunków i kryteriów wyboru operacji;</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operacja </w:t>
      </w:r>
      <w:r>
        <w:rPr>
          <w:rFonts w:cs="Arial" w:ascii="Arial" w:hAnsi="Arial"/>
          <w:sz w:val="24"/>
          <w:szCs w:val="24"/>
          <w:lang w:eastAsia="ar-SA"/>
        </w:rPr>
        <w:t>–</w:t>
      </w:r>
      <w:r>
        <w:rPr>
          <w:rFonts w:cs="Arial" w:ascii="Arial" w:hAnsi="Arial"/>
          <w:b/>
          <w:sz w:val="24"/>
          <w:szCs w:val="24"/>
          <w:lang w:eastAsia="ar-SA"/>
        </w:rPr>
        <w:t xml:space="preserve"> </w:t>
      </w:r>
      <w:r>
        <w:rPr>
          <w:rFonts w:cs="Arial" w:ascii="Arial" w:hAnsi="Arial"/>
          <w:sz w:val="24"/>
          <w:szCs w:val="24"/>
        </w:rPr>
        <w:t xml:space="preserve">projekt, którego wynikiem będzie osiągnięcie celu określonego we wniosku o wybór operacji, złożony do realizacji w ramach </w:t>
      </w:r>
      <w:r>
        <w:rPr>
          <w:rFonts w:cs="Arial" w:ascii="Arial" w:hAnsi="Arial"/>
          <w:sz w:val="24"/>
          <w:szCs w:val="24"/>
          <w:lang w:eastAsia="ar-SA"/>
        </w:rPr>
        <w:t>dwuletniego planu operacyjnego</w:t>
      </w:r>
      <w:r>
        <w:rPr>
          <w:rFonts w:cs="Arial" w:ascii="Arial" w:hAnsi="Arial"/>
          <w:sz w:val="24"/>
          <w:szCs w:val="24"/>
        </w:rPr>
        <w:t>;</w:t>
      </w:r>
    </w:p>
    <w:p>
      <w:pPr>
        <w:pStyle w:val="Normal"/>
        <w:widowControl/>
        <w:numPr>
          <w:ilvl w:val="0"/>
          <w:numId w:val="2"/>
        </w:numPr>
        <w:suppressAutoHyphens w:val="true"/>
        <w:bidi w:val="0"/>
        <w:spacing w:lineRule="auto" w:line="276" w:before="60" w:after="60"/>
        <w:ind w:left="709" w:hanging="425"/>
        <w:jc w:val="both"/>
        <w:rPr>
          <w:rFonts w:ascii="Arial" w:hAnsi="Arial" w:cs="Arial"/>
        </w:rPr>
      </w:pPr>
      <w:r>
        <w:rPr>
          <w:rFonts w:cs="Arial" w:ascii="Arial" w:hAnsi="Arial"/>
          <w:b/>
          <w:sz w:val="24"/>
          <w:szCs w:val="24"/>
          <w:lang w:eastAsia="ar-SA"/>
        </w:rPr>
        <w:t>partner KSOW</w:t>
      </w:r>
      <w:r>
        <w:rPr>
          <w:rFonts w:cs="Arial" w:ascii="Arial" w:hAnsi="Arial"/>
          <w:sz w:val="24"/>
          <w:szCs w:val="24"/>
          <w:lang w:eastAsia="ar-SA"/>
        </w:rPr>
        <w:t xml:space="preserve"> – podmiot współpracujący w ramach KSOW, który został zarejestrowany w bazie partnerów KSOW dostępnej na stronie internetowej KSOW. W rozumieniu niniejszego Regulaminu – podmiot</w:t>
      </w:r>
      <w:r>
        <w:rPr>
          <w:rFonts w:cs="Arial" w:ascii="Arial" w:hAnsi="Arial"/>
          <w:sz w:val="24"/>
          <w:szCs w:val="24"/>
        </w:rPr>
        <w:t xml:space="preserve"> posiadający pełną zdolność do czynności prawnych</w:t>
      </w:r>
      <w:r>
        <w:rPr>
          <w:rFonts w:cs="Arial" w:ascii="Arial" w:hAnsi="Arial"/>
          <w:sz w:val="24"/>
          <w:szCs w:val="24"/>
          <w:lang w:eastAsia="ar-SA"/>
        </w:rPr>
        <w:t>, który złożył wniosek o wybór operacji do realizacji w ramach dwuletniego planu operacyjnego, posiadający status zarejestrowanego partnera KSOW;</w:t>
      </w:r>
    </w:p>
    <w:p>
      <w:pPr>
        <w:pStyle w:val="Normal"/>
        <w:numPr>
          <w:ilvl w:val="0"/>
          <w:numId w:val="2"/>
        </w:numPr>
        <w:spacing w:lineRule="auto" w:line="276" w:before="60" w:after="60"/>
        <w:ind w:left="709" w:hanging="425"/>
        <w:jc w:val="both"/>
        <w:rPr>
          <w:rFonts w:ascii="Arial" w:hAnsi="Arial" w:cs="Arial"/>
          <w:b/>
          <w:b/>
          <w:sz w:val="24"/>
          <w:szCs w:val="24"/>
        </w:rPr>
      </w:pPr>
      <w:r>
        <w:rPr>
          <w:rFonts w:cs="Arial" w:ascii="Arial" w:hAnsi="Arial"/>
          <w:b/>
          <w:sz w:val="24"/>
          <w:szCs w:val="24"/>
        </w:rPr>
        <w:t>plan działania KSOW</w:t>
      </w:r>
      <w:r>
        <w:rPr>
          <w:rFonts w:cs="Arial" w:ascii="Arial" w:hAnsi="Arial"/>
          <w:sz w:val="24"/>
          <w:szCs w:val="24"/>
        </w:rPr>
        <w:t xml:space="preserve"> – plan działania Krajowej Sieci Obszarów Wiejskich na lata 2014–2020, o którym mowa w § 10 rozporządzenia KSOW, zaakceptowany przez Grupę Roboczą ds. KSOW uchwałą nr 32 z dnia 24 maja 2018 r., zamieszczony na stronie internetowej KSOW, stanowiący załącznik do ogłoszenia o konkursie nr 5/2021; </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rPr>
        <w:t xml:space="preserve">plan operacyjny KSOW na lata 2020–2021 </w:t>
      </w:r>
      <w:r>
        <w:rPr>
          <w:rFonts w:cs="Arial" w:ascii="Arial" w:hAnsi="Arial"/>
          <w:bCs/>
          <w:sz w:val="24"/>
          <w:szCs w:val="24"/>
        </w:rPr>
        <w:t>–</w:t>
      </w:r>
      <w:r>
        <w:rPr>
          <w:rFonts w:cs="Arial" w:ascii="Arial" w:hAnsi="Arial"/>
          <w:b/>
          <w:sz w:val="24"/>
          <w:szCs w:val="24"/>
        </w:rPr>
        <w:t xml:space="preserve"> </w:t>
      </w:r>
      <w:r>
        <w:rPr>
          <w:rFonts w:cs="Arial" w:ascii="Arial" w:hAnsi="Arial"/>
          <w:sz w:val="24"/>
          <w:szCs w:val="24"/>
        </w:rPr>
        <w:t>dwuletni</w:t>
      </w:r>
      <w:r>
        <w:rPr>
          <w:rFonts w:cs="Arial" w:ascii="Arial" w:hAnsi="Arial"/>
          <w:b/>
          <w:sz w:val="24"/>
          <w:szCs w:val="24"/>
        </w:rPr>
        <w:t xml:space="preserve"> </w:t>
      </w:r>
      <w:r>
        <w:rPr>
          <w:rFonts w:cs="Arial" w:ascii="Arial" w:hAnsi="Arial"/>
          <w:sz w:val="24"/>
          <w:szCs w:val="24"/>
        </w:rPr>
        <w:t>plan operacyjny zaakceptowany przez Grupę Roboczą ds. KSOW;</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Portal KSOW </w:t>
      </w:r>
      <w:r>
        <w:rPr>
          <w:rFonts w:cs="Arial" w:ascii="Arial" w:hAnsi="Arial"/>
          <w:sz w:val="24"/>
          <w:szCs w:val="24"/>
          <w:lang w:eastAsia="ar-SA"/>
        </w:rPr>
        <w:t>–</w:t>
      </w:r>
      <w:r>
        <w:rPr>
          <w:rFonts w:cs="Arial" w:ascii="Arial" w:hAnsi="Arial"/>
          <w:b/>
          <w:sz w:val="24"/>
          <w:szCs w:val="24"/>
          <w:lang w:eastAsia="ar-SA"/>
        </w:rPr>
        <w:t xml:space="preserve"> </w:t>
      </w:r>
      <w:r>
        <w:rPr>
          <w:rFonts w:cs="Arial" w:ascii="Arial" w:hAnsi="Arial"/>
          <w:sz w:val="24"/>
          <w:szCs w:val="24"/>
          <w:lang w:eastAsia="ar-SA"/>
        </w:rPr>
        <w:softHyphen/>
      </w:r>
      <w:r>
        <w:rPr>
          <w:rFonts w:cs="Arial" w:ascii="Arial" w:hAnsi="Arial"/>
          <w:b/>
          <w:sz w:val="24"/>
          <w:szCs w:val="24"/>
          <w:lang w:eastAsia="ar-SA"/>
        </w:rPr>
        <w:t xml:space="preserve"> </w:t>
      </w:r>
      <w:r>
        <w:rPr>
          <w:rFonts w:cs="Arial" w:ascii="Arial" w:hAnsi="Arial"/>
          <w:sz w:val="24"/>
          <w:szCs w:val="24"/>
          <w:lang w:eastAsia="ar-SA"/>
        </w:rPr>
        <w:t xml:space="preserve">strona internetowa KSOW </w:t>
      </w:r>
      <w:r>
        <w:rPr>
          <w:rStyle w:val="Czeinternetowe"/>
          <w:rFonts w:cs="Arial" w:ascii="Arial" w:hAnsi="Arial"/>
          <w:color w:val="auto"/>
          <w:sz w:val="24"/>
          <w:szCs w:val="24"/>
          <w:u w:val="none"/>
        </w:rPr>
        <w:t>http://ksow.pl/</w:t>
      </w:r>
      <w:r>
        <w:rPr>
          <w:rFonts w:cs="Arial" w:ascii="Arial" w:hAnsi="Arial"/>
          <w:color w:val="auto"/>
          <w:sz w:val="24"/>
          <w:szCs w:val="24"/>
          <w:u w:val="single"/>
          <w:lang w:eastAsia="ar-SA"/>
        </w:rPr>
        <w:t>;</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Portal regionalny KSOW </w:t>
      </w:r>
      <w:r>
        <w:rPr>
          <w:rFonts w:cs="Arial" w:ascii="Arial" w:hAnsi="Arial"/>
          <w:sz w:val="24"/>
          <w:szCs w:val="24"/>
          <w:lang w:eastAsia="ar-SA"/>
        </w:rPr>
        <w:t>– Portal KSOW w części dotyczącej województwa, prowadzony przez jednostkę regionalną danego województwa;</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PROW </w:t>
      </w:r>
      <w:r>
        <w:rPr>
          <w:rFonts w:cs="Arial" w:ascii="Arial" w:hAnsi="Arial"/>
          <w:bCs/>
          <w:sz w:val="24"/>
          <w:szCs w:val="24"/>
          <w:lang w:eastAsia="ar-SA"/>
        </w:rPr>
        <w:t>–</w:t>
      </w:r>
      <w:r>
        <w:rPr>
          <w:rFonts w:cs="Arial" w:ascii="Arial" w:hAnsi="Arial"/>
          <w:b/>
          <w:sz w:val="24"/>
          <w:szCs w:val="24"/>
          <w:lang w:eastAsia="ar-SA"/>
        </w:rPr>
        <w:t xml:space="preserve"> </w:t>
      </w:r>
      <w:r>
        <w:rPr>
          <w:rFonts w:cs="Arial" w:ascii="Arial" w:hAnsi="Arial"/>
          <w:sz w:val="24"/>
          <w:szCs w:val="24"/>
        </w:rPr>
        <w:t>Program Rozwoju Obszarów Wiejskich na lata 2014-2020, o którym mowa w Komunikacie Ministra Rolnictwa i Rozwoju Wsi z dnia 21 maja 2015 r. o zatwierdzeniu przez Komisję Europejską Programu Rozwoju Obszarów Wiejskich na lata 2014-2020, dostępny w aktualnej wersji na stronie internetowej MRiRW;</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 xml:space="preserve">Przewodnik po ocenie wniosku </w:t>
      </w:r>
      <w:r>
        <w:rPr>
          <w:rFonts w:cs="Arial" w:ascii="Arial" w:hAnsi="Arial"/>
          <w:sz w:val="24"/>
          <w:szCs w:val="24"/>
          <w:lang w:eastAsia="ar-SA"/>
        </w:rPr>
        <w:t>–</w:t>
      </w:r>
      <w:r>
        <w:rPr>
          <w:rFonts w:cs="Arial" w:ascii="Arial" w:hAnsi="Arial"/>
          <w:sz w:val="24"/>
          <w:szCs w:val="24"/>
        </w:rPr>
        <w:t xml:space="preserve"> załącznik do niniejszego Regulaminu zawierający zasady oceny wniosku i operacji pod względem spełnienia wymogów formalnych oraz warunków i kryteriów wyboru operacji w ramach Planu działania KSOW na lata 2014-2020 </w:t>
      </w:r>
      <w:r>
        <w:rPr>
          <w:rFonts w:eastAsia="Times New Roman" w:cs="Arial" w:ascii="Arial" w:hAnsi="Arial"/>
          <w:bCs/>
          <w:sz w:val="24"/>
          <w:szCs w:val="24"/>
          <w:lang w:eastAsia="pl-PL"/>
        </w:rPr>
        <w:t>Plan operacyjny na lata 2020-2021;</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rozporządzenie</w:t>
      </w:r>
      <w:r>
        <w:rPr>
          <w:rFonts w:cs="Arial" w:ascii="Arial" w:hAnsi="Arial"/>
          <w:b/>
          <w:bCs/>
          <w:color w:val="000000"/>
          <w:sz w:val="24"/>
          <w:szCs w:val="24"/>
        </w:rPr>
        <w:t xml:space="preserve"> KSOW </w:t>
      </w:r>
      <w:r>
        <w:rPr>
          <w:rFonts w:cs="Arial" w:ascii="Arial" w:hAnsi="Arial"/>
          <w:color w:val="000000"/>
          <w:sz w:val="24"/>
          <w:szCs w:val="24"/>
        </w:rPr>
        <w:softHyphen/>
        <w:t>–</w:t>
      </w:r>
      <w:r>
        <w:rPr>
          <w:rFonts w:cs="Arial" w:ascii="Arial" w:hAnsi="Arial"/>
          <w:sz w:val="24"/>
          <w:szCs w:val="24"/>
        </w:rPr>
        <w:t xml:space="preserve"> rozporządzenie Ministra Rolnictwa i Rozwoju Wsi z dnia 17 stycznia 2017 r. w sprawie krajowej sieci obszarów wiejskich w ramach Programu Rozwoju Obszarów Wiejskich na lata 2014–2020 (Dz. U. poz.148);</w:t>
      </w:r>
    </w:p>
    <w:p>
      <w:pPr>
        <w:pStyle w:val="ListParagraph"/>
        <w:numPr>
          <w:ilvl w:val="0"/>
          <w:numId w:val="2"/>
        </w:numPr>
        <w:spacing w:before="60" w:after="60"/>
        <w:ind w:left="709" w:hanging="425"/>
        <w:contextualSpacing/>
        <w:jc w:val="both"/>
        <w:rPr>
          <w:rStyle w:val="Czeinternetowe"/>
          <w:rFonts w:ascii="Arial" w:hAnsi="Arial" w:cs="Arial"/>
          <w:color w:val="00000A"/>
          <w:u w:val="none"/>
        </w:rPr>
      </w:pPr>
      <w:r>
        <w:rPr>
          <w:rFonts w:eastAsia="Calibri" w:cs="Arial" w:ascii="Arial" w:hAnsi="Arial"/>
          <w:b/>
          <w:bCs/>
          <w:color w:val="000000"/>
          <w:kern w:val="2"/>
          <w:sz w:val="24"/>
          <w:szCs w:val="24"/>
          <w:lang w:eastAsia="en-US"/>
        </w:rPr>
        <w:t>strona internetowa MRiRW</w:t>
      </w:r>
      <w:r>
        <w:rPr>
          <w:rFonts w:cs="Arial" w:ascii="Arial" w:hAnsi="Arial"/>
          <w:sz w:val="24"/>
          <w:szCs w:val="24"/>
          <w:lang w:eastAsia="ar-SA"/>
        </w:rPr>
        <w:t xml:space="preserve"> –</w:t>
      </w:r>
      <w:r>
        <w:rPr>
          <w:rFonts w:cs="Arial" w:ascii="Arial" w:hAnsi="Arial"/>
          <w:b/>
          <w:sz w:val="24"/>
          <w:szCs w:val="24"/>
          <w:lang w:eastAsia="ar-SA"/>
        </w:rPr>
        <w:t xml:space="preserve"> </w:t>
      </w:r>
      <w:r>
        <w:rPr>
          <w:rFonts w:cs="Arial" w:ascii="Arial" w:hAnsi="Arial"/>
          <w:sz w:val="24"/>
          <w:szCs w:val="24"/>
          <w:lang w:eastAsia="ar-SA"/>
        </w:rPr>
        <w:t xml:space="preserve">strona internetowa Ministerstwa Rolnictwa i Rozwoju Wsi </w:t>
      </w:r>
      <w:r>
        <w:rPr>
          <w:rStyle w:val="Czeinternetowe"/>
          <w:rFonts w:cs="Arial" w:ascii="Arial" w:hAnsi="Arial"/>
          <w:color w:val="auto"/>
          <w:sz w:val="24"/>
          <w:szCs w:val="24"/>
          <w:u w:val="none"/>
          <w:lang w:eastAsia="ar-SA"/>
        </w:rPr>
        <w:t>https://www.gov.pl/web/rolnictwo/</w:t>
      </w:r>
      <w:r>
        <w:rPr>
          <w:rFonts w:cs="Arial" w:ascii="Arial" w:hAnsi="Arial"/>
          <w:sz w:val="24"/>
          <w:szCs w:val="24"/>
          <w:lang w:eastAsia="ar-SA"/>
        </w:rPr>
        <w:t>;</w:t>
      </w:r>
    </w:p>
    <w:p>
      <w:pPr>
        <w:pStyle w:val="Normal"/>
        <w:widowControl/>
        <w:numPr>
          <w:ilvl w:val="0"/>
          <w:numId w:val="2"/>
        </w:numPr>
        <w:suppressAutoHyphens w:val="true"/>
        <w:bidi w:val="0"/>
        <w:spacing w:lineRule="auto" w:line="276" w:before="60" w:after="60"/>
        <w:ind w:left="709" w:hanging="425"/>
        <w:jc w:val="left"/>
        <w:rPr>
          <w:rFonts w:ascii="Arial" w:hAnsi="Arial" w:cs="Arial"/>
          <w:b/>
          <w:b/>
          <w:color w:val="000000"/>
          <w:sz w:val="24"/>
          <w:szCs w:val="24"/>
        </w:rPr>
      </w:pPr>
      <w:r>
        <w:rPr>
          <w:rFonts w:cs="Arial" w:ascii="Arial" w:hAnsi="Arial"/>
          <w:b/>
          <w:sz w:val="24"/>
          <w:szCs w:val="24"/>
          <w:lang w:eastAsia="ar-SA"/>
        </w:rPr>
        <w:t xml:space="preserve">UE </w:t>
      </w:r>
      <w:r>
        <w:rPr>
          <w:rFonts w:cs="Arial" w:ascii="Arial" w:hAnsi="Arial"/>
          <w:sz w:val="24"/>
          <w:szCs w:val="24"/>
          <w:lang w:eastAsia="ar-SA"/>
        </w:rPr>
        <w:t>– Unia Europejska;</w:t>
      </w:r>
    </w:p>
    <w:p>
      <w:pPr>
        <w:pStyle w:val="Normal"/>
        <w:numPr>
          <w:ilvl w:val="0"/>
          <w:numId w:val="2"/>
        </w:numPr>
        <w:spacing w:lineRule="auto" w:line="276" w:before="60" w:after="60"/>
        <w:ind w:left="709" w:hanging="425"/>
        <w:jc w:val="both"/>
        <w:rPr>
          <w:rFonts w:ascii="Arial" w:hAnsi="Arial" w:cs="Arial"/>
        </w:rPr>
      </w:pPr>
      <w:r>
        <w:rPr>
          <w:rFonts w:cs="Arial" w:ascii="Arial" w:hAnsi="Arial"/>
          <w:b/>
          <w:color w:val="000000"/>
          <w:sz w:val="24"/>
          <w:szCs w:val="24"/>
        </w:rPr>
        <w:t>umowa</w:t>
      </w:r>
      <w:r>
        <w:rPr>
          <w:rFonts w:cs="Arial" w:ascii="Arial" w:hAnsi="Arial"/>
          <w:color w:val="000000"/>
          <w:sz w:val="24"/>
          <w:szCs w:val="24"/>
        </w:rPr>
        <w:t xml:space="preserve"> –</w:t>
        <w:softHyphen/>
        <w:t xml:space="preserve"> umowa na realizację operacji zawierana pomiędzy partnerem KSOW a jednostką regionalną;</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rPr>
        <w:t xml:space="preserve">ustawa ROW </w:t>
      </w:r>
      <w:r>
        <w:rPr>
          <w:rFonts w:cs="Arial" w:ascii="Arial" w:hAnsi="Arial"/>
          <w:sz w:val="24"/>
          <w:szCs w:val="24"/>
        </w:rPr>
        <w:t>–</w:t>
      </w:r>
      <w:r>
        <w:rPr>
          <w:rFonts w:cs="Arial" w:ascii="Arial" w:hAnsi="Arial"/>
          <w:b/>
          <w:sz w:val="24"/>
          <w:szCs w:val="24"/>
        </w:rPr>
        <w:t xml:space="preserve"> </w:t>
      </w:r>
      <w:r>
        <w:rPr>
          <w:rFonts w:cs="Arial" w:ascii="Arial" w:hAnsi="Arial"/>
          <w:sz w:val="24"/>
          <w:szCs w:val="24"/>
        </w:rPr>
        <w:t>ustawa z dnia 20 lutego 2015 r. o wspieraniu rozwoju obszarów wiejskich z udziałem środków Europejskiego Funduszu Rolnego na rzecz Rozwoju Obszarów Wiejskich w ramach Programu Rozwoju Obszarów Wiejskich na lata 2014–2020 (Dz. U. z 2020 r. poz. 217, z późn. zm.);</w:t>
      </w:r>
    </w:p>
    <w:p>
      <w:pPr>
        <w:pStyle w:val="Normal"/>
        <w:numPr>
          <w:ilvl w:val="0"/>
          <w:numId w:val="2"/>
        </w:numPr>
        <w:spacing w:lineRule="auto" w:line="276" w:before="60" w:after="60"/>
        <w:ind w:left="709" w:hanging="425"/>
        <w:jc w:val="both"/>
        <w:rPr>
          <w:rFonts w:ascii="Arial" w:hAnsi="Arial" w:cs="Arial"/>
        </w:rPr>
      </w:pPr>
      <w:r>
        <w:rPr>
          <w:rFonts w:cs="Arial" w:ascii="Arial" w:hAnsi="Arial"/>
          <w:b/>
          <w:sz w:val="24"/>
          <w:szCs w:val="24"/>
          <w:lang w:eastAsia="ar-SA"/>
        </w:rPr>
        <w:t>wniosek</w:t>
      </w:r>
      <w:r>
        <w:rPr>
          <w:rFonts w:cs="Arial" w:ascii="Arial" w:hAnsi="Arial"/>
          <w:bCs/>
          <w:sz w:val="24"/>
          <w:szCs w:val="24"/>
          <w:lang w:eastAsia="ar-SA"/>
        </w:rPr>
        <w:t xml:space="preserve"> –</w:t>
      </w:r>
      <w:r>
        <w:rPr>
          <w:rFonts w:cs="Arial" w:ascii="Arial" w:hAnsi="Arial"/>
          <w:sz w:val="24"/>
          <w:szCs w:val="24"/>
          <w:lang w:eastAsia="ar-SA"/>
        </w:rPr>
        <w:softHyphen/>
      </w:r>
      <w:r>
        <w:rPr>
          <w:rFonts w:cs="Arial" w:ascii="Arial" w:hAnsi="Arial"/>
          <w:b/>
          <w:sz w:val="24"/>
          <w:szCs w:val="24"/>
          <w:lang w:eastAsia="ar-SA"/>
        </w:rPr>
        <w:t xml:space="preserve"> </w:t>
      </w:r>
      <w:r>
        <w:rPr>
          <w:rFonts w:cs="Arial" w:ascii="Arial" w:hAnsi="Arial"/>
          <w:sz w:val="24"/>
          <w:szCs w:val="24"/>
        </w:rPr>
        <w:t>wniosek o wybór operacji do realizacji w ramach dwuletniego planu operacyjnego, złożony w odpowiedzi na ogłoszenie o konkursie.</w:t>
      </w:r>
    </w:p>
    <w:p>
      <w:pPr>
        <w:pStyle w:val="Normal"/>
        <w:spacing w:lineRule="auto" w:line="276" w:before="60" w:after="60"/>
        <w:ind w:left="0" w:hanging="0"/>
        <w:rPr>
          <w:rFonts w:ascii="Arial" w:hAnsi="Arial" w:cs="Arial"/>
          <w:b/>
          <w:b/>
          <w:iCs/>
          <w:caps/>
          <w:sz w:val="24"/>
          <w:szCs w:val="24"/>
          <w:lang w:eastAsia="ar-SA"/>
        </w:rPr>
      </w:pPr>
      <w:r>
        <w:rPr>
          <w:rFonts w:cs="Arial" w:ascii="Arial" w:hAnsi="Arial"/>
          <w:b/>
          <w:iCs/>
          <w:caps/>
          <w:sz w:val="24"/>
          <w:szCs w:val="24"/>
          <w:lang w:eastAsia="ar-SA"/>
        </w:rPr>
      </w:r>
    </w:p>
    <w:p>
      <w:pPr>
        <w:pStyle w:val="Normal"/>
        <w:spacing w:lineRule="auto" w:line="276" w:before="60" w:after="60"/>
        <w:ind w:left="357" w:hanging="357"/>
        <w:jc w:val="center"/>
        <w:rPr>
          <w:rFonts w:ascii="Arial" w:hAnsi="Arial" w:cs="Arial"/>
          <w:b/>
          <w:b/>
          <w:bCs/>
          <w:iCs/>
          <w:sz w:val="24"/>
          <w:szCs w:val="24"/>
          <w:lang w:eastAsia="ar-SA"/>
        </w:rPr>
      </w:pPr>
      <w:r>
        <w:rPr>
          <w:rFonts w:cs="Arial" w:ascii="Arial" w:hAnsi="Arial"/>
          <w:b/>
          <w:bCs/>
          <w:iCs/>
          <w:sz w:val="24"/>
          <w:szCs w:val="24"/>
          <w:lang w:eastAsia="ar-SA"/>
        </w:rPr>
      </w:r>
    </w:p>
    <w:p>
      <w:pPr>
        <w:pStyle w:val="Normal"/>
        <w:spacing w:lineRule="auto" w:line="276" w:before="60" w:after="60"/>
        <w:ind w:left="357" w:hanging="357"/>
        <w:jc w:val="center"/>
        <w:rPr>
          <w:rFonts w:ascii="Arial" w:hAnsi="Arial" w:cs="Arial"/>
          <w:b/>
          <w:b/>
          <w:bCs/>
          <w:iCs/>
          <w:sz w:val="24"/>
          <w:szCs w:val="24"/>
          <w:lang w:eastAsia="ar-SA"/>
        </w:rPr>
      </w:pPr>
      <w:r>
        <w:rPr>
          <w:rFonts w:cs="Arial" w:ascii="Arial" w:hAnsi="Arial"/>
          <w:b/>
          <w:bCs/>
          <w:iCs/>
          <w:sz w:val="24"/>
          <w:szCs w:val="24"/>
          <w:lang w:eastAsia="ar-SA"/>
        </w:rPr>
      </w:r>
    </w:p>
    <w:p>
      <w:pPr>
        <w:pStyle w:val="Normal"/>
        <w:spacing w:lineRule="auto" w:line="276" w:before="60" w:after="60"/>
        <w:ind w:left="357" w:hanging="357"/>
        <w:jc w:val="center"/>
        <w:rPr>
          <w:rFonts w:ascii="Arial" w:hAnsi="Arial" w:cs="Arial"/>
          <w:b/>
          <w:b/>
          <w:bCs/>
          <w:iCs/>
          <w:sz w:val="24"/>
          <w:szCs w:val="24"/>
          <w:lang w:eastAsia="ar-SA"/>
        </w:rPr>
      </w:pPr>
      <w:r>
        <w:rPr>
          <w:rFonts w:cs="Arial" w:ascii="Arial" w:hAnsi="Arial"/>
          <w:b/>
          <w:bCs/>
          <w:iCs/>
          <w:sz w:val="24"/>
          <w:szCs w:val="24"/>
          <w:lang w:eastAsia="ar-SA"/>
        </w:rPr>
      </w:r>
    </w:p>
    <w:p>
      <w:pPr>
        <w:pStyle w:val="Normal"/>
        <w:spacing w:lineRule="auto" w:line="276" w:before="60" w:after="60"/>
        <w:ind w:left="357" w:hanging="357"/>
        <w:jc w:val="center"/>
        <w:rPr>
          <w:rFonts w:ascii="Arial" w:hAnsi="Arial" w:cs="Arial"/>
          <w:b/>
          <w:b/>
          <w:bCs/>
          <w:iCs/>
          <w:sz w:val="24"/>
          <w:szCs w:val="24"/>
          <w:lang w:eastAsia="ar-SA"/>
        </w:rPr>
      </w:pPr>
      <w:r>
        <w:rPr>
          <w:rFonts w:cs="Arial" w:ascii="Arial" w:hAnsi="Arial"/>
          <w:b/>
          <w:iCs/>
          <w:caps/>
          <w:sz w:val="24"/>
          <w:szCs w:val="24"/>
          <w:lang w:eastAsia="ar-SA"/>
        </w:rPr>
        <w:t>§ 2.</w:t>
      </w:r>
    </w:p>
    <w:p>
      <w:pPr>
        <w:pStyle w:val="Normal"/>
        <w:spacing w:lineRule="auto" w:line="276" w:before="60" w:after="60"/>
        <w:ind w:left="360" w:hanging="357"/>
        <w:jc w:val="center"/>
        <w:rPr>
          <w:rFonts w:ascii="Arial" w:hAnsi="Arial" w:cs="Arial"/>
        </w:rPr>
      </w:pPr>
      <w:r>
        <w:rPr>
          <w:rFonts w:cs="Arial" w:ascii="Arial" w:hAnsi="Arial"/>
          <w:b/>
          <w:bCs/>
          <w:iCs/>
          <w:sz w:val="24"/>
          <w:szCs w:val="24"/>
          <w:lang w:eastAsia="ar-SA"/>
        </w:rPr>
        <w:t>Podstawa prawna</w:t>
      </w:r>
    </w:p>
    <w:p>
      <w:pPr>
        <w:pStyle w:val="Normal"/>
        <w:spacing w:lineRule="auto" w:line="276" w:before="60" w:after="60"/>
        <w:ind w:left="720" w:hanging="357"/>
        <w:rPr>
          <w:rFonts w:ascii="Arial" w:hAnsi="Arial" w:cs="Arial"/>
        </w:rPr>
      </w:pPr>
      <w:r>
        <w:rPr>
          <w:rFonts w:cs="Arial" w:ascii="Arial" w:hAnsi="Arial"/>
          <w:sz w:val="24"/>
          <w:szCs w:val="24"/>
        </w:rPr>
        <w:t>1. Regulacje unijne:</w:t>
      </w:r>
    </w:p>
    <w:p>
      <w:pPr>
        <w:pStyle w:val="NormalnyWeb1"/>
        <w:numPr>
          <w:ilvl w:val="0"/>
          <w:numId w:val="3"/>
        </w:numPr>
        <w:spacing w:lineRule="auto" w:line="276" w:before="60" w:after="60"/>
        <w:jc w:val="both"/>
        <w:rPr>
          <w:rFonts w:ascii="Arial" w:hAnsi="Arial" w:cs="Arial"/>
        </w:rPr>
      </w:pPr>
      <w:r>
        <w:rPr>
          <w:rFonts w:cs="Arial" w:ascii="Arial" w:hAnsi="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 oraz przepisy wydane na podstawie tego rozporządzenia;</w:t>
      </w:r>
    </w:p>
    <w:p>
      <w:pPr>
        <w:pStyle w:val="NormalnyWeb1"/>
        <w:numPr>
          <w:ilvl w:val="0"/>
          <w:numId w:val="3"/>
        </w:numPr>
        <w:spacing w:lineRule="auto" w:line="276" w:before="60" w:after="60"/>
        <w:jc w:val="both"/>
        <w:rPr>
          <w:rFonts w:ascii="Arial" w:hAnsi="Arial" w:eastAsia="Calibri" w:cs="Arial"/>
          <w:sz w:val="24"/>
          <w:szCs w:val="24"/>
          <w:lang w:eastAsia="ar-SA"/>
        </w:rPr>
      </w:pPr>
      <w:r>
        <w:rPr>
          <w:rFonts w:eastAsia="Calibri" w:cs="Arial" w:ascii="Arial" w:hAnsi="Arial"/>
          <w:sz w:val="24"/>
          <w:szCs w:val="24"/>
          <w:lang w:eastAsia="ar-SA"/>
        </w:rPr>
        <w:t>rozporządzenie Parlamentu Europejskiego i Rady (UE) nr 1305/2013 z dnia 17 grudnia 2013 r. w sprawie wsparcia rozwoju obszarów wiejskich przez Europejski Fundusz Rolny na rzecz Rozwoju Obszarów Wiejskich (EFRROW) i uchylające rozporządzenie Rady (WE) nr 1698/2005 (Dz. Urz. UE L 347 z 20.12.2013, str. 487, z późn. zm.);</w:t>
      </w:r>
    </w:p>
    <w:p>
      <w:pPr>
        <w:pStyle w:val="NormalnyWeb1"/>
        <w:numPr>
          <w:ilvl w:val="0"/>
          <w:numId w:val="3"/>
        </w:numPr>
        <w:spacing w:lineRule="auto" w:line="276" w:before="60" w:after="60"/>
        <w:jc w:val="both"/>
        <w:rPr>
          <w:rFonts w:ascii="Arial" w:hAnsi="Arial" w:eastAsia="Calibri" w:cs="Arial"/>
          <w:sz w:val="24"/>
          <w:szCs w:val="24"/>
          <w:lang w:eastAsia="ar-SA"/>
        </w:rPr>
      </w:pPr>
      <w:r>
        <w:rPr>
          <w:rFonts w:eastAsia="Calibri" w:cs="Arial" w:ascii="Arial" w:hAnsi="Arial"/>
          <w:sz w:val="24"/>
          <w:szCs w:val="24"/>
          <w:lang w:eastAsia="ar-SA"/>
        </w:rPr>
        <w:t>rozporządzenie</w:t>
      </w:r>
      <w:r>
        <w:rPr>
          <w:rFonts w:cs="Arial" w:ascii="Arial" w:hAnsi="Arial"/>
          <w:sz w:val="24"/>
          <w:szCs w:val="24"/>
        </w:rPr>
        <w:t xml:space="preserve"> wykonawcze Komisji (UE) Nr 808/2014 z dnia 17 lipca 2014 r. ustanawiające zasady stosowania rozporządzenia Parlamentu Europejskiego i Rady (UE) nr 1305/2013 w sprawie wsparcia rozwoju obszarów wiejskich przez Europejski Fundusz Rolny na rzecz Rozwoju Obszarów Wiejskich (EFRROW) (</w:t>
      </w:r>
      <w:r>
        <w:rPr>
          <w:rFonts w:cs="Arial" w:ascii="Arial" w:hAnsi="Arial"/>
          <w:iCs/>
          <w:sz w:val="24"/>
          <w:szCs w:val="24"/>
        </w:rPr>
        <w:t>Dz. Urz. UE L 227 z 31.7.2014, str. 18-68, z późn. zm)</w:t>
      </w:r>
      <w:r>
        <w:rPr>
          <w:rFonts w:cs="Arial" w:ascii="Arial" w:hAnsi="Arial"/>
          <w:sz w:val="24"/>
          <w:szCs w:val="24"/>
        </w:rPr>
        <w:t>.</w:t>
      </w:r>
    </w:p>
    <w:p>
      <w:pPr>
        <w:pStyle w:val="Akapitzlist1"/>
        <w:spacing w:lineRule="auto" w:line="276" w:before="60" w:after="60"/>
        <w:contextualSpacing/>
        <w:rPr>
          <w:rFonts w:ascii="Arial" w:hAnsi="Arial" w:cs="Arial"/>
        </w:rPr>
      </w:pPr>
      <w:r>
        <w:rPr>
          <w:rFonts w:cs="Arial" w:ascii="Arial" w:hAnsi="Arial"/>
          <w:sz w:val="24"/>
          <w:szCs w:val="24"/>
        </w:rPr>
        <w:t>2. Regulacje krajowe:</w:t>
      </w:r>
    </w:p>
    <w:p>
      <w:pPr>
        <w:pStyle w:val="NormalnyWeb1"/>
        <w:numPr>
          <w:ilvl w:val="0"/>
          <w:numId w:val="23"/>
        </w:numPr>
        <w:spacing w:lineRule="auto" w:line="276" w:before="60" w:after="60"/>
        <w:jc w:val="both"/>
        <w:rPr>
          <w:rFonts w:ascii="Arial" w:hAnsi="Arial" w:cs="Arial"/>
        </w:rPr>
      </w:pPr>
      <w:r>
        <w:rPr>
          <w:rFonts w:cs="Arial" w:ascii="Arial" w:hAnsi="Arial"/>
          <w:color w:val="000000"/>
          <w:sz w:val="24"/>
          <w:szCs w:val="24"/>
        </w:rPr>
        <w:t>Program Rozwoju Obszarów Wiejskich na lata 2014</w:t>
        <w:softHyphen/>
        <w:t>–2020 zatwierdzony przez Komisję Europejską w dniu 12 grudnia 2014 r.</w:t>
      </w:r>
      <w:r>
        <w:rPr>
          <w:rFonts w:eastAsia="Calibri" w:cs="Arial" w:ascii="Arial" w:hAnsi="Arial"/>
          <w:color w:val="000000"/>
          <w:sz w:val="24"/>
          <w:szCs w:val="24"/>
          <w:lang w:eastAsia="en-US"/>
        </w:rPr>
        <w:t xml:space="preserve"> </w:t>
      </w:r>
      <w:r>
        <w:rPr>
          <w:rFonts w:cs="Arial" w:ascii="Arial" w:hAnsi="Arial"/>
          <w:color w:val="000000"/>
          <w:sz w:val="24"/>
          <w:szCs w:val="24"/>
        </w:rPr>
        <w:t>i jego kolejne zmiany;</w:t>
      </w:r>
    </w:p>
    <w:p>
      <w:pPr>
        <w:pStyle w:val="NormalnyWeb1"/>
        <w:numPr>
          <w:ilvl w:val="0"/>
          <w:numId w:val="23"/>
        </w:numPr>
        <w:spacing w:lineRule="auto" w:line="276" w:before="60" w:after="60"/>
        <w:jc w:val="both"/>
        <w:rPr>
          <w:rFonts w:ascii="Arial" w:hAnsi="Arial" w:cs="Arial"/>
        </w:rPr>
      </w:pPr>
      <w:r>
        <w:rPr>
          <w:rFonts w:eastAsia="Calibri" w:cs="Arial" w:ascii="Arial" w:hAnsi="Arial"/>
          <w:sz w:val="24"/>
          <w:szCs w:val="24"/>
          <w:lang w:eastAsia="ar-SA"/>
        </w:rPr>
        <w:t>ustawa z dnia 20 lutego 2015 roku o wspieraniu rozwoju obszarów wiejskich z udziałem środków Europejskiego Funduszu Rolnego na rzecz Rozwoju Obszarów Wiejskich w ramach Programu Rozwoju Obszarów Wiejskich na lata 2014–2020 (Dz. U. z 2020 r.</w:t>
      </w:r>
      <w:r>
        <w:rPr>
          <w:rFonts w:cs="Arial" w:ascii="Arial" w:hAnsi="Arial"/>
          <w:color w:val="333333"/>
          <w:sz w:val="24"/>
          <w:szCs w:val="24"/>
        </w:rPr>
        <w:t xml:space="preserve"> </w:t>
      </w:r>
      <w:r>
        <w:rPr>
          <w:rFonts w:eastAsia="Calibri" w:cs="Arial" w:ascii="Arial" w:hAnsi="Arial"/>
          <w:sz w:val="24"/>
          <w:szCs w:val="24"/>
          <w:lang w:eastAsia="ar-SA"/>
        </w:rPr>
        <w:t>poz. 217, z późn. zm.);</w:t>
      </w:r>
    </w:p>
    <w:p>
      <w:pPr>
        <w:pStyle w:val="Ciemnalistaakcent51"/>
        <w:numPr>
          <w:ilvl w:val="0"/>
          <w:numId w:val="23"/>
        </w:numPr>
        <w:shd w:val="clear" w:color="auto" w:fill="FFFFFF"/>
        <w:tabs>
          <w:tab w:val="clear" w:pos="720"/>
          <w:tab w:val="left" w:pos="0" w:leader="none"/>
        </w:tabs>
        <w:spacing w:lineRule="auto" w:line="276" w:before="60" w:after="60"/>
        <w:jc w:val="both"/>
        <w:rPr>
          <w:rFonts w:ascii="Arial" w:hAnsi="Arial" w:cs="Arial"/>
        </w:rPr>
      </w:pPr>
      <w:r>
        <w:rPr>
          <w:rFonts w:cs="Arial" w:ascii="Arial" w:hAnsi="Arial"/>
        </w:rPr>
        <w:t>rozporządzenie Ministra Rolnictwa i Rozwoju Wsi z dnia 17 stycznia 2017 r. w sprawie krajowej sieci obszarów wiejskich w ramach Programu Rozwoju Obszarów Wiejskich na lata 2014–2020 (Dz. U. poz. 148);</w:t>
      </w:r>
    </w:p>
    <w:p>
      <w:pPr>
        <w:pStyle w:val="NormalnyWeb1"/>
        <w:numPr>
          <w:ilvl w:val="0"/>
          <w:numId w:val="23"/>
        </w:numPr>
        <w:spacing w:lineRule="auto" w:line="276" w:before="60" w:after="60"/>
        <w:jc w:val="both"/>
        <w:rPr>
          <w:rFonts w:ascii="Arial" w:hAnsi="Arial" w:cs="Arial"/>
        </w:rPr>
      </w:pPr>
      <w:r>
        <w:rPr>
          <w:rFonts w:cs="Arial" w:ascii="Arial" w:hAnsi="Arial"/>
          <w:sz w:val="24"/>
          <w:szCs w:val="24"/>
        </w:rPr>
        <w:t xml:space="preserve">rozporządzenie Ministra Rolnictwa i Rozwoju Wsi z dnia 20 września 2016 r. w sprawie szczegółowych warunków i trybu przyznawania oraz wypłaty pomocy technicznej w ramach Programu Rozwoju Obszarów Wiejskich na lata 2014–2020 </w:t>
      </w:r>
      <w:r>
        <w:rPr>
          <w:rFonts w:eastAsia="Calibri" w:cs="Arial" w:ascii="Arial" w:hAnsi="Arial"/>
          <w:sz w:val="24"/>
          <w:szCs w:val="24"/>
          <w:lang w:eastAsia="ar-SA"/>
        </w:rPr>
        <w:t>(Dz. U. poz. 1549, z późn. zm.), zwane dalej „rozporządzeniem PT”;</w:t>
      </w:r>
    </w:p>
    <w:p>
      <w:pPr>
        <w:pStyle w:val="NormalnyWeb1"/>
        <w:numPr>
          <w:ilvl w:val="0"/>
          <w:numId w:val="23"/>
        </w:numPr>
        <w:spacing w:lineRule="auto" w:line="276" w:before="60" w:after="60"/>
        <w:jc w:val="both"/>
        <w:rPr>
          <w:rFonts w:ascii="Arial" w:hAnsi="Arial" w:cs="Arial"/>
        </w:rPr>
      </w:pPr>
      <w:r>
        <w:rPr>
          <w:rFonts w:cs="Arial" w:ascii="Arial" w:hAnsi="Arial"/>
          <w:sz w:val="24"/>
          <w:szCs w:val="24"/>
        </w:rPr>
        <w:t xml:space="preserve">rozporządzenie Ministra Rolnictwa i Rozwoju Wsi z dnia 25 lutego 2016 r. w sprawie określenia wysokości limitów środków dostępnych w ramach pomocy technicznej Programu Rozwoju Obszarów Wiejskich na lata 2014–2020 </w:t>
      </w:r>
      <w:r>
        <w:rPr>
          <w:rFonts w:eastAsia="Calibri" w:cs="Arial" w:ascii="Arial" w:hAnsi="Arial"/>
          <w:sz w:val="24"/>
          <w:szCs w:val="24"/>
          <w:lang w:eastAsia="ar-SA"/>
        </w:rPr>
        <w:t>(Dz. U. poz. 335, z późn. zm.).</w:t>
      </w:r>
    </w:p>
    <w:p>
      <w:pPr>
        <w:pStyle w:val="Normal"/>
        <w:spacing w:lineRule="auto" w:line="276" w:before="60" w:after="60"/>
        <w:ind w:left="357" w:hanging="357"/>
        <w:jc w:val="center"/>
        <w:rPr>
          <w:rFonts w:ascii="Arial" w:hAnsi="Arial" w:cs="Arial"/>
          <w:b/>
          <w:b/>
          <w:iCs/>
          <w:color w:val="000000"/>
          <w:sz w:val="24"/>
          <w:szCs w:val="24"/>
          <w:lang w:eastAsia="ar-SA"/>
        </w:rPr>
      </w:pPr>
      <w:r>
        <w:rPr>
          <w:rFonts w:cs="Arial" w:ascii="Arial" w:hAnsi="Arial"/>
          <w:b/>
          <w:iCs/>
          <w:caps/>
          <w:color w:val="000000"/>
          <w:sz w:val="24"/>
          <w:szCs w:val="24"/>
          <w:lang w:eastAsia="ar-SA"/>
        </w:rPr>
        <w:t>§ 3.</w:t>
      </w:r>
    </w:p>
    <w:p>
      <w:pPr>
        <w:pStyle w:val="Normal"/>
        <w:spacing w:lineRule="auto" w:line="276" w:before="60" w:after="60"/>
        <w:ind w:left="284" w:hanging="284"/>
        <w:jc w:val="center"/>
        <w:rPr>
          <w:rFonts w:ascii="Arial" w:hAnsi="Arial" w:cs="Arial"/>
          <w:b/>
          <w:b/>
          <w:sz w:val="24"/>
          <w:szCs w:val="24"/>
        </w:rPr>
      </w:pPr>
      <w:r>
        <w:rPr>
          <w:rFonts w:cs="Arial" w:ascii="Arial" w:hAnsi="Arial"/>
          <w:b/>
          <w:iCs/>
          <w:color w:val="000000"/>
          <w:sz w:val="24"/>
          <w:szCs w:val="24"/>
          <w:lang w:eastAsia="ar-SA"/>
        </w:rPr>
        <w:t>Zadania jednostek odpowiedzialnych za przeprowadzenie konkursu</w:t>
      </w:r>
    </w:p>
    <w:p>
      <w:pPr>
        <w:pStyle w:val="Akapitzlist1"/>
        <w:numPr>
          <w:ilvl w:val="0"/>
          <w:numId w:val="10"/>
        </w:numPr>
        <w:spacing w:lineRule="auto" w:line="276" w:before="60" w:after="60"/>
        <w:contextualSpacing/>
        <w:jc w:val="both"/>
        <w:rPr>
          <w:rFonts w:ascii="Arial" w:hAnsi="Arial" w:cs="Arial"/>
          <w:b/>
          <w:b/>
          <w:bCs/>
          <w:sz w:val="24"/>
          <w:szCs w:val="24"/>
        </w:rPr>
      </w:pPr>
      <w:r>
        <w:rPr>
          <w:rFonts w:cs="Arial" w:ascii="Arial" w:hAnsi="Arial"/>
          <w:b w:val="false"/>
          <w:bCs w:val="false"/>
          <w:sz w:val="24"/>
          <w:szCs w:val="24"/>
        </w:rPr>
        <w:t>Instytucja zarządzająca – Minister Rolnictwa i Rozwoju Wsi:</w:t>
      </w:r>
    </w:p>
    <w:p>
      <w:pPr>
        <w:pStyle w:val="Akapitzlist1"/>
        <w:tabs>
          <w:tab w:val="clear" w:pos="720"/>
          <w:tab w:val="left" w:pos="142" w:leader="none"/>
          <w:tab w:val="left" w:pos="284" w:leader="none"/>
        </w:tabs>
        <w:spacing w:lineRule="auto" w:line="276" w:before="60" w:after="60"/>
        <w:ind w:left="426" w:hanging="0"/>
        <w:contextualSpacing/>
        <w:jc w:val="both"/>
        <w:rPr>
          <w:rFonts w:ascii="Arial" w:hAnsi="Arial" w:cs="Arial"/>
          <w:sz w:val="24"/>
          <w:szCs w:val="24"/>
        </w:rPr>
      </w:pPr>
      <w:r>
        <w:rPr>
          <w:rFonts w:cs="Arial" w:ascii="Arial" w:hAnsi="Arial"/>
          <w:sz w:val="24"/>
          <w:szCs w:val="24"/>
        </w:rPr>
        <w:t>ogłasza konkurs na wybór operacji do realizacji w planie operacyjnym Krajowej Sieci Obszarów Wiejskich przez zamieszczenie ogłoszenia o tym konkursie na stronie internetowej MRiRW.</w:t>
      </w:r>
    </w:p>
    <w:p>
      <w:pPr>
        <w:pStyle w:val="Akapitzlist1"/>
        <w:numPr>
          <w:ilvl w:val="0"/>
          <w:numId w:val="10"/>
        </w:numPr>
        <w:spacing w:lineRule="auto" w:line="276" w:before="60" w:after="60"/>
        <w:contextualSpacing/>
        <w:jc w:val="both"/>
        <w:rPr>
          <w:rFonts w:ascii="Arial" w:hAnsi="Arial" w:cs="Arial"/>
          <w:b/>
          <w:b/>
          <w:bCs/>
          <w:sz w:val="24"/>
          <w:szCs w:val="24"/>
        </w:rPr>
      </w:pPr>
      <w:r>
        <w:rPr>
          <w:rFonts w:cs="Arial" w:ascii="Arial" w:hAnsi="Arial"/>
          <w:b w:val="false"/>
          <w:bCs w:val="false"/>
          <w:sz w:val="24"/>
          <w:szCs w:val="24"/>
        </w:rPr>
        <w:t>Jednostka centralna – Centrum Doradztwa Rolniczego z siedzibą w Brwinowie:</w:t>
      </w:r>
      <w:r>
        <w:rPr>
          <w:rFonts w:cs="Arial" w:ascii="Arial" w:hAnsi="Arial"/>
          <w:b/>
          <w:bCs/>
          <w:sz w:val="24"/>
          <w:szCs w:val="24"/>
        </w:rPr>
        <w:t xml:space="preserve"> </w:t>
      </w:r>
      <w:r>
        <w:rPr>
          <w:rFonts w:cs="Arial" w:ascii="Arial" w:hAnsi="Arial"/>
          <w:bCs/>
          <w:sz w:val="24"/>
          <w:szCs w:val="24"/>
        </w:rPr>
        <w:t xml:space="preserve">zamieszcza ogłoszenie o konkursie na Portalu KSOW. </w:t>
      </w:r>
    </w:p>
    <w:p>
      <w:pPr>
        <w:pStyle w:val="Akapitzlist1"/>
        <w:numPr>
          <w:ilvl w:val="0"/>
          <w:numId w:val="10"/>
        </w:numPr>
        <w:spacing w:lineRule="auto" w:line="276" w:before="60" w:after="60"/>
        <w:contextualSpacing/>
        <w:jc w:val="both"/>
        <w:rPr>
          <w:rFonts w:ascii="Arial" w:hAnsi="Arial" w:cs="Arial"/>
          <w:b/>
          <w:b/>
          <w:bCs/>
          <w:sz w:val="24"/>
          <w:szCs w:val="24"/>
        </w:rPr>
      </w:pPr>
      <w:r>
        <w:rPr>
          <w:rFonts w:cs="Arial" w:ascii="Arial" w:hAnsi="Arial"/>
          <w:b w:val="false"/>
          <w:bCs w:val="false"/>
          <w:sz w:val="24"/>
          <w:szCs w:val="24"/>
        </w:rPr>
        <w:t xml:space="preserve">Jednostki regionalne </w:t>
        <w:softHyphen/>
        <w:t>– samorządy województw:</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zamieszczają ogłoszenie o konkursie na Portalu regionalnym KSOW i na stronach internetowych urzędów marszałkowskich;</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przyjmują wnioski partnerów KSOW dotyczące realizacji operacji na obszarze i w zakresie objętym konkursem wskazanym w ogłoszeniu;</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przeprowadzają ocenę spełnienia wymogów formalnych wniosków i warunków wyboru operacji;</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 xml:space="preserve">dokonują wyboru operacji partnera KSOW, przeprowadzając ocenę spełnienia kryteriów wyboru operacji; </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ogłaszają na stronach internetowych urzędów marszałkowskich i na Portalu regionalnym KSOW listę ocenionych operacji;</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informują, w formie pisemnej, partnerów KSOW o wyniku wyboru operacji;</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zawierają umowę z partnerem KSOW na realizację operacji;</w:t>
      </w:r>
    </w:p>
    <w:p>
      <w:pPr>
        <w:pStyle w:val="Akapitzlist1"/>
        <w:numPr>
          <w:ilvl w:val="0"/>
          <w:numId w:val="19"/>
        </w:numPr>
        <w:spacing w:lineRule="auto" w:line="276" w:before="60" w:after="60"/>
        <w:contextualSpacing/>
        <w:jc w:val="both"/>
        <w:rPr>
          <w:rFonts w:ascii="Arial" w:hAnsi="Arial" w:cs="Arial"/>
          <w:sz w:val="24"/>
          <w:szCs w:val="24"/>
        </w:rPr>
      </w:pPr>
      <w:r>
        <w:rPr>
          <w:rFonts w:cs="Arial" w:ascii="Arial" w:hAnsi="Arial"/>
          <w:sz w:val="24"/>
          <w:szCs w:val="24"/>
        </w:rPr>
        <w:t>przyjmują i rozpatrują wnioski o refundację kosztów poniesionych przez partnerów KSOW oraz refundują te koszty.</w:t>
      </w:r>
    </w:p>
    <w:p>
      <w:pPr>
        <w:pStyle w:val="Normal"/>
        <w:spacing w:lineRule="auto" w:line="276" w:before="60" w:after="60"/>
        <w:ind w:left="357" w:hanging="357"/>
        <w:jc w:val="center"/>
        <w:rPr>
          <w:rFonts w:ascii="Arial" w:hAnsi="Arial" w:cs="Arial"/>
          <w:b/>
          <w:b/>
          <w:iCs/>
          <w:caps/>
          <w:color w:val="000000"/>
          <w:sz w:val="24"/>
          <w:szCs w:val="24"/>
          <w:lang w:eastAsia="ar-SA"/>
        </w:rPr>
      </w:pPr>
      <w:r>
        <w:rPr>
          <w:rFonts w:cs="Arial" w:ascii="Arial" w:hAnsi="Arial"/>
          <w:b/>
          <w:iCs/>
          <w:caps/>
          <w:color w:val="000000"/>
          <w:sz w:val="24"/>
          <w:szCs w:val="24"/>
          <w:lang w:eastAsia="ar-SA"/>
        </w:rPr>
      </w:r>
    </w:p>
    <w:p>
      <w:pPr>
        <w:pStyle w:val="Normal"/>
        <w:spacing w:lineRule="auto" w:line="276" w:before="60" w:after="60"/>
        <w:ind w:left="357" w:hanging="357"/>
        <w:jc w:val="center"/>
        <w:rPr>
          <w:rFonts w:ascii="Arial" w:hAnsi="Arial" w:cs="Arial"/>
          <w:b/>
          <w:b/>
          <w:iCs/>
          <w:color w:val="000000"/>
          <w:sz w:val="24"/>
          <w:szCs w:val="24"/>
          <w:lang w:eastAsia="ar-SA"/>
        </w:rPr>
      </w:pPr>
      <w:r>
        <w:rPr>
          <w:rFonts w:cs="Arial" w:ascii="Arial" w:hAnsi="Arial"/>
          <w:b/>
          <w:iCs/>
          <w:caps/>
          <w:color w:val="000000"/>
          <w:sz w:val="24"/>
          <w:szCs w:val="24"/>
          <w:lang w:eastAsia="ar-SA"/>
        </w:rPr>
        <w:t>§ 4.</w:t>
      </w:r>
    </w:p>
    <w:p>
      <w:pPr>
        <w:pStyle w:val="Normal"/>
        <w:spacing w:lineRule="auto" w:line="276" w:before="60" w:after="60"/>
        <w:jc w:val="center"/>
        <w:rPr>
          <w:rFonts w:ascii="Arial" w:hAnsi="Arial" w:cs="Arial"/>
          <w:sz w:val="24"/>
          <w:szCs w:val="24"/>
        </w:rPr>
      </w:pPr>
      <w:r>
        <w:rPr>
          <w:rFonts w:cs="Arial" w:ascii="Arial" w:hAnsi="Arial"/>
          <w:b/>
          <w:iCs/>
          <w:color w:val="000000"/>
          <w:sz w:val="24"/>
          <w:szCs w:val="24"/>
          <w:lang w:eastAsia="ar-SA"/>
        </w:rPr>
        <w:t>Postanowienia ogólne</w:t>
      </w:r>
    </w:p>
    <w:p>
      <w:pPr>
        <w:pStyle w:val="Akapitzlist1"/>
        <w:numPr>
          <w:ilvl w:val="0"/>
          <w:numId w:val="27"/>
        </w:numPr>
        <w:spacing w:lineRule="auto" w:line="276" w:before="60" w:after="60"/>
        <w:contextualSpacing/>
        <w:jc w:val="both"/>
        <w:rPr>
          <w:rFonts w:ascii="Arial" w:hAnsi="Arial" w:cs="Arial"/>
        </w:rPr>
      </w:pPr>
      <w:r>
        <w:rPr>
          <w:rFonts w:cs="Arial" w:ascii="Arial" w:hAnsi="Arial"/>
          <w:sz w:val="24"/>
          <w:szCs w:val="24"/>
        </w:rPr>
        <w:t>Lista działań, w ramach których przeprowadzany jest wybór operacji partnerów KSOW:</w:t>
      </w:r>
    </w:p>
    <w:p>
      <w:pPr>
        <w:pStyle w:val="Akapitzlist1"/>
        <w:numPr>
          <w:ilvl w:val="0"/>
          <w:numId w:val="26"/>
        </w:numPr>
        <w:spacing w:lineRule="auto" w:line="276" w:before="60" w:after="60"/>
        <w:contextualSpacing/>
        <w:jc w:val="both"/>
        <w:rPr>
          <w:rFonts w:ascii="Arial" w:hAnsi="Arial" w:cs="Arial"/>
        </w:rPr>
      </w:pPr>
      <w:r>
        <w:rPr>
          <w:rFonts w:cs="Arial" w:ascii="Arial" w:hAnsi="Arial"/>
          <w:sz w:val="24"/>
          <w:szCs w:val="24"/>
        </w:rPr>
        <w:t>Działanie 3. Gromadzenie przykładów operacji realizujących poszczególne priorytety Programu,</w:t>
      </w:r>
      <w:r>
        <w:rPr>
          <w:rFonts w:cs="Arial" w:ascii="Arial" w:hAnsi="Arial"/>
          <w:b w:val="false"/>
          <w:bCs w:val="false"/>
          <w:color w:val="000000"/>
          <w:sz w:val="26"/>
          <w:szCs w:val="26"/>
        </w:rPr>
        <w:t xml:space="preserve"> </w:t>
      </w:r>
    </w:p>
    <w:p>
      <w:pPr>
        <w:pStyle w:val="Akapitzlist1"/>
        <w:numPr>
          <w:ilvl w:val="0"/>
          <w:numId w:val="26"/>
        </w:numPr>
        <w:spacing w:lineRule="auto" w:line="276" w:before="60" w:after="60"/>
        <w:contextualSpacing/>
        <w:jc w:val="both"/>
        <w:rPr>
          <w:rFonts w:ascii="Arial" w:hAnsi="Arial" w:cs="Arial"/>
          <w:sz w:val="24"/>
          <w:szCs w:val="24"/>
        </w:rPr>
      </w:pPr>
      <w:r>
        <w:rPr>
          <w:rFonts w:cs="Arial" w:ascii="Arial" w:hAnsi="Arial"/>
          <w:sz w:val="24"/>
          <w:szCs w:val="24"/>
        </w:rPr>
        <w:t>Działanie 4. Szkolenia i działania na rzecz tworzenia sieci kontaktów dla Lokalnych Grup Działania (LGD), w tym zapewnianie pomocy technicznej w zakresie współpracy międzyterytorialnej i międzynarodowej,</w:t>
      </w:r>
    </w:p>
    <w:p>
      <w:pPr>
        <w:pStyle w:val="Akapitzlist1"/>
        <w:numPr>
          <w:ilvl w:val="0"/>
          <w:numId w:val="26"/>
        </w:numPr>
        <w:spacing w:lineRule="auto" w:line="276" w:before="60" w:after="60"/>
        <w:contextualSpacing/>
        <w:jc w:val="both"/>
        <w:rPr>
          <w:rFonts w:ascii="Arial" w:hAnsi="Arial" w:cs="Arial"/>
          <w:sz w:val="24"/>
          <w:szCs w:val="24"/>
        </w:rPr>
      </w:pPr>
      <w:r>
        <w:rPr>
          <w:rFonts w:cs="Arial" w:ascii="Arial" w:hAnsi="Arial"/>
          <w:sz w:val="24"/>
          <w:szCs w:val="24"/>
        </w:rPr>
        <w:t>Działanie 6. Ułatwianie wymiany wiedzy pomiędzy podmiotami uczestniczącymi w rozwoju obszarów wiejskich oraz wymiana i rozpowszechnianie rezultatów działań na rzecz tego rozwoju,</w:t>
      </w:r>
    </w:p>
    <w:p>
      <w:pPr>
        <w:pStyle w:val="Akapitzlist1"/>
        <w:numPr>
          <w:ilvl w:val="0"/>
          <w:numId w:val="26"/>
        </w:numPr>
        <w:spacing w:lineRule="auto" w:line="276" w:before="60" w:after="60"/>
        <w:contextualSpacing/>
        <w:jc w:val="both"/>
        <w:rPr>
          <w:rFonts w:ascii="Arial" w:hAnsi="Arial" w:cs="Arial"/>
          <w:sz w:val="24"/>
          <w:szCs w:val="24"/>
        </w:rPr>
      </w:pPr>
      <w:r>
        <w:rPr>
          <w:rFonts w:cs="Arial" w:ascii="Arial" w:hAnsi="Arial"/>
          <w:sz w:val="24"/>
          <w:szCs w:val="24"/>
        </w:rPr>
        <w:t>Działanie 9. Wspieranie współpracy w sektorze rolnym i realizacji przez rolników wspólnych inwestycji,</w:t>
      </w:r>
    </w:p>
    <w:p>
      <w:pPr>
        <w:pStyle w:val="Akapitzlist1"/>
        <w:numPr>
          <w:ilvl w:val="0"/>
          <w:numId w:val="26"/>
        </w:numPr>
        <w:spacing w:lineRule="auto" w:line="276" w:before="60" w:after="60"/>
        <w:contextualSpacing/>
        <w:jc w:val="both"/>
        <w:rPr>
          <w:rFonts w:ascii="Arial" w:hAnsi="Arial" w:cs="Arial"/>
          <w:sz w:val="24"/>
          <w:szCs w:val="24"/>
        </w:rPr>
      </w:pPr>
      <w:r>
        <w:rPr>
          <w:rFonts w:cs="Arial" w:ascii="Arial" w:hAnsi="Arial"/>
          <w:sz w:val="24"/>
          <w:szCs w:val="24"/>
        </w:rPr>
        <w:t>Działanie 10. Organizacja i udział w targach, wystawach tematycznych na rzecz prezentacji osiągnięć i promocji polskiej wsi w kraju i za granicą,</w:t>
      </w:r>
    </w:p>
    <w:p>
      <w:pPr>
        <w:pStyle w:val="Akapitzlist1"/>
        <w:numPr>
          <w:ilvl w:val="0"/>
          <w:numId w:val="26"/>
        </w:numPr>
        <w:spacing w:lineRule="auto" w:line="276" w:before="60" w:after="60"/>
        <w:contextualSpacing/>
        <w:jc w:val="both"/>
        <w:rPr>
          <w:rFonts w:ascii="Arial" w:hAnsi="Arial" w:cs="Arial"/>
          <w:sz w:val="24"/>
          <w:szCs w:val="24"/>
        </w:rPr>
      </w:pPr>
      <w:r>
        <w:rPr>
          <w:rFonts w:cs="Arial" w:ascii="Arial" w:hAnsi="Arial"/>
          <w:sz w:val="24"/>
          <w:szCs w:val="24"/>
        </w:rPr>
        <w:t>Działanie 11. Aktywizacja mieszkańców wsi na rzecz podejmowania inicjatyw służących włączeniu społecznemu, w szczególności osób starszych, młodzieży, niepełnosprawnych, mniejszości narodowych i innych osób wykluczonych społecznie,</w:t>
      </w:r>
    </w:p>
    <w:p>
      <w:pPr>
        <w:pStyle w:val="Akapitzlist1"/>
        <w:numPr>
          <w:ilvl w:val="0"/>
          <w:numId w:val="26"/>
        </w:numPr>
        <w:spacing w:lineRule="auto" w:line="276" w:before="60" w:after="60"/>
        <w:contextualSpacing/>
        <w:jc w:val="both"/>
        <w:rPr>
          <w:rFonts w:ascii="Arial" w:hAnsi="Arial" w:cs="Arial"/>
          <w:sz w:val="24"/>
          <w:szCs w:val="24"/>
        </w:rPr>
      </w:pPr>
      <w:r>
        <w:rPr>
          <w:rFonts w:cs="Arial" w:ascii="Arial" w:hAnsi="Arial"/>
          <w:sz w:val="24"/>
          <w:szCs w:val="24"/>
        </w:rPr>
        <w:t>Działanie 12. Identyfikacja, gromadzenie i upowszechnianie dobrych praktyk mających wpływ na rozwój obszarów wiejskich,</w:t>
      </w:r>
    </w:p>
    <w:p>
      <w:pPr>
        <w:pStyle w:val="Akapitzlist1"/>
        <w:numPr>
          <w:ilvl w:val="0"/>
          <w:numId w:val="26"/>
        </w:numPr>
        <w:spacing w:lineRule="auto" w:line="276" w:before="60" w:after="60"/>
        <w:contextualSpacing/>
        <w:jc w:val="both"/>
        <w:rPr>
          <w:rFonts w:ascii="Arial" w:hAnsi="Arial" w:eastAsia="Times New Roman" w:cs="Arial"/>
          <w:sz w:val="24"/>
          <w:szCs w:val="24"/>
        </w:rPr>
      </w:pPr>
      <w:r>
        <w:rPr>
          <w:rFonts w:cs="Arial" w:ascii="Arial" w:hAnsi="Arial"/>
          <w:sz w:val="24"/>
          <w:szCs w:val="24"/>
        </w:rPr>
        <w:t>Działanie 13. Promocja zrównoważonego rozwoju obszarów wiejskich.</w:t>
      </w:r>
    </w:p>
    <w:p>
      <w:pPr>
        <w:pStyle w:val="Akapitzlist1"/>
        <w:numPr>
          <w:ilvl w:val="0"/>
          <w:numId w:val="27"/>
        </w:numPr>
        <w:spacing w:lineRule="auto" w:line="276" w:before="60" w:after="60"/>
        <w:ind w:left="425" w:hanging="425"/>
        <w:contextualSpacing/>
        <w:rPr>
          <w:rFonts w:ascii="Arial" w:hAnsi="Arial" w:eastAsia="Times New Roman" w:cs="Arial"/>
          <w:sz w:val="24"/>
          <w:szCs w:val="24"/>
        </w:rPr>
      </w:pPr>
      <w:r>
        <w:rPr>
          <w:rFonts w:eastAsia="Times New Roman" w:cs="Arial" w:ascii="Arial" w:hAnsi="Arial"/>
          <w:sz w:val="24"/>
          <w:szCs w:val="24"/>
        </w:rPr>
        <w:t>Logika interwencji KSOW.</w:t>
      </w:r>
    </w:p>
    <w:p>
      <w:pPr>
        <w:pStyle w:val="Normal"/>
        <w:tabs>
          <w:tab w:val="clear" w:pos="720"/>
          <w:tab w:val="left" w:pos="690" w:leader="none"/>
        </w:tabs>
        <w:spacing w:lineRule="auto" w:line="276" w:before="60" w:after="60"/>
        <w:ind w:left="641" w:hanging="215"/>
        <w:rPr>
          <w:rFonts w:ascii="Arial" w:hAnsi="Arial" w:cs="Arial"/>
          <w:sz w:val="24"/>
          <w:szCs w:val="24"/>
        </w:rPr>
      </w:pPr>
      <w:r>
        <w:rPr>
          <w:rFonts w:eastAsia="Times New Roman" w:cs="Arial" w:ascii="Arial" w:hAnsi="Arial"/>
          <w:sz w:val="24"/>
          <w:szCs w:val="24"/>
        </w:rPr>
        <w:t>Priorytety PROW na lata 2014–2020:</w:t>
      </w:r>
    </w:p>
    <w:p>
      <w:pPr>
        <w:pStyle w:val="Akapitzlist1"/>
        <w:numPr>
          <w:ilvl w:val="0"/>
          <w:numId w:val="20"/>
        </w:numPr>
        <w:spacing w:lineRule="auto" w:line="276" w:before="60" w:after="60"/>
        <w:contextualSpacing/>
        <w:jc w:val="both"/>
        <w:rPr>
          <w:rFonts w:ascii="Arial" w:hAnsi="Arial" w:cs="Arial"/>
          <w:sz w:val="24"/>
          <w:szCs w:val="24"/>
        </w:rPr>
      </w:pPr>
      <w:r>
        <w:rPr>
          <w:rFonts w:cs="Arial" w:ascii="Arial" w:hAnsi="Arial"/>
          <w:sz w:val="24"/>
          <w:szCs w:val="24"/>
        </w:rPr>
        <w:t>Priorytet 1. Wspieranie transferu wiedzy i innowacji w rolnictwie, leśnictwie i na obszarach wiejskich;</w:t>
      </w:r>
    </w:p>
    <w:p>
      <w:pPr>
        <w:pStyle w:val="Akapitzlist1"/>
        <w:numPr>
          <w:ilvl w:val="0"/>
          <w:numId w:val="20"/>
        </w:numPr>
        <w:spacing w:lineRule="auto" w:line="276" w:before="60" w:after="60"/>
        <w:contextualSpacing/>
        <w:jc w:val="both"/>
        <w:rPr>
          <w:rFonts w:ascii="Arial" w:hAnsi="Arial" w:cs="Arial"/>
          <w:sz w:val="24"/>
          <w:szCs w:val="24"/>
        </w:rPr>
      </w:pPr>
      <w:r>
        <w:rPr>
          <w:rFonts w:cs="Arial" w:ascii="Arial" w:hAnsi="Arial"/>
          <w:sz w:val="24"/>
          <w:szCs w:val="24"/>
        </w:rPr>
        <w:t>Priorytet 2. Zwiększenie rentowności gospodarstw i konkurencyjności wszystkich rodzajów rolnictwa we wszystkich regionach oraz promowanie innowacyjnych technologii w gospodarstwach i zrównoważonej gospodarki leśnej;</w:t>
      </w:r>
    </w:p>
    <w:p>
      <w:pPr>
        <w:pStyle w:val="Akapitzlist1"/>
        <w:numPr>
          <w:ilvl w:val="0"/>
          <w:numId w:val="20"/>
        </w:numPr>
        <w:spacing w:lineRule="auto" w:line="276" w:before="60" w:after="60"/>
        <w:contextualSpacing/>
        <w:jc w:val="both"/>
        <w:rPr>
          <w:rFonts w:ascii="Arial" w:hAnsi="Arial" w:cs="Arial"/>
          <w:sz w:val="24"/>
          <w:szCs w:val="24"/>
        </w:rPr>
      </w:pPr>
      <w:r>
        <w:rPr>
          <w:rFonts w:cs="Arial" w:ascii="Arial" w:hAnsi="Arial"/>
          <w:sz w:val="24"/>
          <w:szCs w:val="24"/>
        </w:rPr>
        <w:t>Priorytet 3. Wspieranie organizacji łańcucha dostaw żywności, w tym przetwarzania i wprowadzania do obrotu produktów rolnych, promowanie dobrostanu zwierząt i zarządzania ryzykiem w rolnictwie;</w:t>
      </w:r>
    </w:p>
    <w:p>
      <w:pPr>
        <w:pStyle w:val="Akapitzlist1"/>
        <w:numPr>
          <w:ilvl w:val="0"/>
          <w:numId w:val="20"/>
        </w:numPr>
        <w:spacing w:lineRule="auto" w:line="276" w:before="60" w:after="60"/>
        <w:contextualSpacing/>
        <w:jc w:val="both"/>
        <w:rPr>
          <w:rFonts w:ascii="Arial" w:hAnsi="Arial" w:cs="Arial"/>
          <w:sz w:val="24"/>
          <w:szCs w:val="24"/>
        </w:rPr>
      </w:pPr>
      <w:r>
        <w:rPr>
          <w:rFonts w:cs="Arial" w:ascii="Arial" w:hAnsi="Arial"/>
          <w:sz w:val="24"/>
          <w:szCs w:val="24"/>
        </w:rPr>
        <w:t>Priorytet 4. Odtwarzanie, ochrona i wzmacnianie ekosystemów związanych z rolnictwem i leśnictwem;</w:t>
      </w:r>
    </w:p>
    <w:p>
      <w:pPr>
        <w:pStyle w:val="Akapitzlist1"/>
        <w:numPr>
          <w:ilvl w:val="0"/>
          <w:numId w:val="20"/>
        </w:numPr>
        <w:spacing w:lineRule="auto" w:line="276" w:before="60" w:after="60"/>
        <w:contextualSpacing/>
        <w:jc w:val="both"/>
        <w:rPr>
          <w:rFonts w:ascii="Arial" w:hAnsi="Arial" w:cs="Arial"/>
          <w:sz w:val="24"/>
          <w:szCs w:val="24"/>
        </w:rPr>
      </w:pPr>
      <w:r>
        <w:rPr>
          <w:rFonts w:cs="Arial" w:ascii="Arial" w:hAnsi="Arial"/>
          <w:sz w:val="24"/>
          <w:szCs w:val="24"/>
        </w:rPr>
        <w:t>Priorytet 5. Wspieranie efektywnego gospodarowania zasobami i przechodzenia na gospodarkę niskoemisyjną i odporną na zmianę klimatu w sektorach rolnym, spożywczym i leśnym;</w:t>
      </w:r>
    </w:p>
    <w:p>
      <w:pPr>
        <w:pStyle w:val="Akapitzlist1"/>
        <w:numPr>
          <w:ilvl w:val="0"/>
          <w:numId w:val="20"/>
        </w:numPr>
        <w:spacing w:lineRule="auto" w:line="276" w:before="60" w:after="60"/>
        <w:contextualSpacing/>
        <w:jc w:val="both"/>
        <w:rPr>
          <w:rFonts w:ascii="Arial" w:hAnsi="Arial" w:eastAsia="Times New Roman" w:cs="Arial"/>
          <w:sz w:val="24"/>
          <w:szCs w:val="24"/>
          <w:u w:val="single"/>
        </w:rPr>
      </w:pPr>
      <w:r>
        <w:rPr>
          <w:rFonts w:cs="Arial" w:ascii="Arial" w:hAnsi="Arial"/>
          <w:sz w:val="24"/>
          <w:szCs w:val="24"/>
        </w:rPr>
        <w:t>Priorytet 6. Wspieranie włączenia społecznego, ograniczenia ubóstwa i rozwoju gospodarczego na obszarach wiejskich.</w:t>
      </w:r>
    </w:p>
    <w:p>
      <w:pPr>
        <w:pStyle w:val="Normal"/>
        <w:tabs>
          <w:tab w:val="clear" w:pos="720"/>
          <w:tab w:val="left" w:pos="690" w:leader="none"/>
        </w:tabs>
        <w:spacing w:lineRule="auto" w:line="276" w:before="60" w:after="60"/>
        <w:jc w:val="both"/>
        <w:rPr>
          <w:rFonts w:ascii="Arial" w:hAnsi="Arial" w:eastAsia="Times New Roman" w:cs="Arial"/>
          <w:sz w:val="24"/>
          <w:szCs w:val="24"/>
        </w:rPr>
      </w:pPr>
      <w:r>
        <w:rPr>
          <w:rFonts w:eastAsia="Times New Roman" w:cs="Arial" w:ascii="Arial" w:hAnsi="Arial"/>
          <w:sz w:val="24"/>
          <w:szCs w:val="24"/>
        </w:rPr>
      </w:r>
    </w:p>
    <w:p>
      <w:pPr>
        <w:pStyle w:val="Normal"/>
        <w:tabs>
          <w:tab w:val="clear" w:pos="720"/>
          <w:tab w:val="left" w:pos="690" w:leader="none"/>
        </w:tabs>
        <w:spacing w:lineRule="auto" w:line="276" w:before="60" w:after="60"/>
        <w:jc w:val="both"/>
        <w:rPr>
          <w:rFonts w:ascii="Arial" w:hAnsi="Arial" w:eastAsia="Times New Roman" w:cs="Arial"/>
          <w:sz w:val="24"/>
          <w:szCs w:val="24"/>
        </w:rPr>
      </w:pPr>
      <w:r>
        <w:rPr>
          <w:rFonts w:eastAsia="Times New Roman" w:cs="Arial" w:ascii="Arial" w:hAnsi="Arial"/>
          <w:sz w:val="24"/>
          <w:szCs w:val="24"/>
        </w:rPr>
        <w:t>Cele KSOW, zgodnie z logiką interwencji KSOW, są realizowane przez następujące działania.</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550"/>
        <w:gridCol w:w="3855"/>
        <w:gridCol w:w="4657"/>
      </w:tblGrid>
      <w:tr>
        <w:trPr/>
        <w:tc>
          <w:tcPr>
            <w:tcW w:w="9062" w:type="dxa"/>
            <w:gridSpan w:val="3"/>
            <w:tcBorders/>
          </w:tcPr>
          <w:p>
            <w:pPr>
              <w:pStyle w:val="Normal"/>
              <w:suppressAutoHyphens w:val="false"/>
              <w:spacing w:before="0" w:after="0"/>
              <w:ind w:left="0" w:hanging="0"/>
              <w:jc w:val="center"/>
              <w:rPr>
                <w:rFonts w:ascii="Arial" w:hAnsi="Arial" w:eastAsia="Calibri" w:cs="Arial" w:eastAsiaTheme="minorHAnsi"/>
                <w:b/>
                <w:b/>
                <w:color w:val="auto"/>
                <w:kern w:val="0"/>
                <w:sz w:val="24"/>
                <w:szCs w:val="24"/>
              </w:rPr>
            </w:pPr>
            <w:r>
              <w:rPr>
                <w:rFonts w:eastAsia="Calibri" w:cs="Arial" w:ascii="Arial" w:hAnsi="Arial" w:eastAsiaTheme="minorHAnsi"/>
                <w:b/>
                <w:color w:val="auto"/>
                <w:kern w:val="0"/>
                <w:sz w:val="24"/>
                <w:szCs w:val="24"/>
                <w:lang w:eastAsia="en-US"/>
              </w:rPr>
              <w:t>Logika interwencji KSOW</w:t>
            </w:r>
          </w:p>
        </w:tc>
      </w:tr>
      <w:tr>
        <w:trPr/>
        <w:tc>
          <w:tcPr>
            <w:tcW w:w="550"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Lp.</w:t>
            </w:r>
          </w:p>
        </w:tc>
        <w:tc>
          <w:tcPr>
            <w:tcW w:w="3855"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Cel KSOW</w:t>
            </w:r>
          </w:p>
        </w:tc>
        <w:tc>
          <w:tcPr>
            <w:tcW w:w="4657"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 xml:space="preserve">Nr i nazwa działania KSOW </w:t>
            </w:r>
          </w:p>
        </w:tc>
      </w:tr>
      <w:tr>
        <w:trPr/>
        <w:tc>
          <w:tcPr>
            <w:tcW w:w="550"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1.</w:t>
            </w:r>
          </w:p>
        </w:tc>
        <w:tc>
          <w:tcPr>
            <w:tcW w:w="3855" w:type="dxa"/>
            <w:tcBorders/>
          </w:tcPr>
          <w:p>
            <w:pPr>
              <w:pStyle w:val="Normal"/>
              <w:suppressAutoHyphens w:val="false"/>
              <w:spacing w:before="0" w:after="0"/>
              <w:ind w:left="0" w:hanging="0"/>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Zwiększenie udziału zainteresowanych stron we wdrażaniu inicjatyw na rzecz rozwoju obszarów wiejskich</w:t>
            </w:r>
          </w:p>
        </w:tc>
        <w:tc>
          <w:tcPr>
            <w:tcW w:w="4657" w:type="dxa"/>
            <w:tcBorders/>
          </w:tcPr>
          <w:p>
            <w:pPr>
              <w:pStyle w:val="Normal"/>
              <w:suppressAutoHyphens w:val="false"/>
              <w:spacing w:before="0" w:after="0"/>
              <w:ind w:left="306" w:hanging="306"/>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3. Gromadzenie przykładów operacji realizujących poszczególne priorytety Programu.</w:t>
            </w:r>
          </w:p>
          <w:p>
            <w:pPr>
              <w:pStyle w:val="Normal"/>
              <w:suppressAutoHyphens w:val="false"/>
              <w:spacing w:before="0" w:after="0"/>
              <w:ind w:left="306" w:hanging="284"/>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6. Ułatwianie wymiany wiedzy pomiędzy podmiotami uczestniczącymi w rozwoju obszarów wiejskich oraz wymiana i rozpowszechnianie rezultatów działań na rzecz tego rozwoju.</w:t>
            </w:r>
          </w:p>
          <w:p>
            <w:pPr>
              <w:pStyle w:val="Normal"/>
              <w:suppressAutoHyphens w:val="false"/>
              <w:spacing w:before="0" w:after="0"/>
              <w:ind w:left="306" w:hanging="284"/>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9. Wspieranie współpracy w sektorze rolnym i realizacji przez rolników wspólnych inwestycji.</w:t>
            </w:r>
          </w:p>
          <w:p>
            <w:pPr>
              <w:pStyle w:val="Normal"/>
              <w:suppressAutoHyphens w:val="false"/>
              <w:spacing w:before="0" w:after="0"/>
              <w:ind w:left="306" w:hanging="425"/>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13. Promocja zrównoważonego rozwoju obszarów wiejskich.</w:t>
            </w:r>
          </w:p>
        </w:tc>
      </w:tr>
      <w:tr>
        <w:trPr/>
        <w:tc>
          <w:tcPr>
            <w:tcW w:w="550"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2.</w:t>
            </w:r>
          </w:p>
        </w:tc>
        <w:tc>
          <w:tcPr>
            <w:tcW w:w="3855" w:type="dxa"/>
            <w:tcBorders/>
          </w:tcPr>
          <w:p>
            <w:pPr>
              <w:pStyle w:val="Normal"/>
              <w:suppressAutoHyphens w:val="false"/>
              <w:spacing w:before="0" w:after="0"/>
              <w:ind w:left="0" w:hanging="0"/>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Podniesienie jakości realizacji Programu</w:t>
            </w:r>
          </w:p>
        </w:tc>
        <w:tc>
          <w:tcPr>
            <w:tcW w:w="4657" w:type="dxa"/>
            <w:tcBorders/>
          </w:tcPr>
          <w:p>
            <w:pPr>
              <w:pStyle w:val="Normal"/>
              <w:suppressAutoHyphens w:val="false"/>
              <w:spacing w:before="0" w:after="0"/>
              <w:ind w:left="641" w:hanging="0"/>
              <w:contextualSpacing/>
              <w:rPr>
                <w:rFonts w:ascii="Arial" w:hAnsi="Arial" w:eastAsia="Calibri" w:cs="Arial" w:eastAsiaTheme="minorHAnsi"/>
                <w:color w:val="auto"/>
                <w:kern w:val="0"/>
                <w:sz w:val="24"/>
                <w:szCs w:val="24"/>
              </w:rPr>
            </w:pPr>
            <w:r>
              <w:rPr>
                <w:rFonts w:eastAsia="Calibri" w:cs="Arial" w:eastAsiaTheme="minorHAnsi" w:ascii="Arial" w:hAnsi="Arial"/>
                <w:color w:val="auto"/>
                <w:kern w:val="0"/>
                <w:sz w:val="24"/>
                <w:szCs w:val="24"/>
                <w:lang w:eastAsia="en-US"/>
              </w:rPr>
            </w:r>
          </w:p>
          <w:p>
            <w:pPr>
              <w:pStyle w:val="Normal"/>
              <w:suppressAutoHyphens w:val="false"/>
              <w:spacing w:before="0" w:after="0"/>
              <w:ind w:left="306" w:hanging="425"/>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3. Gromadzenie przykładów operacji realizujących poszczególne priorytety Programu.10. Organizacja i udział w targach, wystawach tematycznych na rzecz prezentacji osiągnięć i promocji polskiej wsi w kraju i za granicą.</w:t>
            </w:r>
          </w:p>
          <w:p>
            <w:pPr>
              <w:pStyle w:val="Normal"/>
              <w:suppressAutoHyphens w:val="false"/>
              <w:spacing w:before="0" w:after="0"/>
              <w:ind w:left="306" w:hanging="425"/>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12. Identyfikacja, gromadzenie i upowszechnianie dobrych praktyk mających wpływ na rozwój obszarów wiejskich.</w:t>
            </w:r>
          </w:p>
        </w:tc>
      </w:tr>
      <w:tr>
        <w:trPr/>
        <w:tc>
          <w:tcPr>
            <w:tcW w:w="550"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3.</w:t>
            </w:r>
          </w:p>
        </w:tc>
        <w:tc>
          <w:tcPr>
            <w:tcW w:w="3855" w:type="dxa"/>
            <w:tcBorders/>
          </w:tcPr>
          <w:p>
            <w:pPr>
              <w:pStyle w:val="Normal"/>
              <w:suppressAutoHyphens w:val="false"/>
              <w:spacing w:before="0" w:after="0"/>
              <w:ind w:left="0" w:hanging="0"/>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Informowanie społeczeństwa i potencjalnych beneficjentów o polityce rozwoju obszarów wiejskich i wsparciu finansowym</w:t>
            </w:r>
          </w:p>
        </w:tc>
        <w:tc>
          <w:tcPr>
            <w:tcW w:w="4657" w:type="dxa"/>
            <w:tcBorders/>
          </w:tcPr>
          <w:p>
            <w:pPr>
              <w:pStyle w:val="Normal"/>
              <w:suppressAutoHyphens w:val="false"/>
              <w:spacing w:before="0" w:after="0"/>
              <w:ind w:left="306" w:hanging="425"/>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10. Organizacja i udział w targach, wystawach tematycznych na rzecz prezentacji osiągnięć i promocji polskiej wsi w kraju i za granicą.</w:t>
            </w:r>
          </w:p>
          <w:p>
            <w:pPr>
              <w:pStyle w:val="Normal"/>
              <w:suppressAutoHyphens w:val="false"/>
              <w:spacing w:before="0" w:after="0"/>
              <w:ind w:left="306" w:hanging="425"/>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13. Promocja zrównoważonego rozwoju obszarów wiejskich.</w:t>
            </w:r>
          </w:p>
        </w:tc>
      </w:tr>
      <w:tr>
        <w:trPr/>
        <w:tc>
          <w:tcPr>
            <w:tcW w:w="550" w:type="dxa"/>
            <w:tcBorders/>
          </w:tcPr>
          <w:p>
            <w:pPr>
              <w:pStyle w:val="Normal"/>
              <w:suppressAutoHyphens w:val="false"/>
              <w:spacing w:before="0" w:after="0"/>
              <w:ind w:left="0" w:hanging="0"/>
              <w:jc w:val="center"/>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4.</w:t>
            </w:r>
          </w:p>
        </w:tc>
        <w:tc>
          <w:tcPr>
            <w:tcW w:w="3855" w:type="dxa"/>
            <w:tcBorders/>
          </w:tcPr>
          <w:p>
            <w:pPr>
              <w:pStyle w:val="Normal"/>
              <w:suppressAutoHyphens w:val="false"/>
              <w:spacing w:before="0" w:after="0"/>
              <w:ind w:left="0" w:hanging="0"/>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Aktywizacja mieszkańców wsi na rzecz podejmowania inicjatyw w zakresie rozwoju obszarów wiejskich, w tym kreowania miejsc pracy na terenach wiejskich</w:t>
            </w:r>
          </w:p>
        </w:tc>
        <w:tc>
          <w:tcPr>
            <w:tcW w:w="4657" w:type="dxa"/>
            <w:tcBorders/>
          </w:tcPr>
          <w:p>
            <w:pPr>
              <w:pStyle w:val="Normal"/>
              <w:suppressAutoHyphens w:val="false"/>
              <w:spacing w:before="0" w:after="0"/>
              <w:ind w:left="306" w:hanging="306"/>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4. Szkolenia i działania na rzecz tworzenia sieci kontaktów dla Lokalnych Grup Działania (LGD), w tym zapewnianie pomocy technicznej w zakresie współpracy międzyterytorialnej i międzynarodowej.</w:t>
            </w:r>
          </w:p>
          <w:p>
            <w:pPr>
              <w:pStyle w:val="Normal"/>
              <w:suppressAutoHyphens w:val="false"/>
              <w:spacing w:before="0" w:after="0"/>
              <w:ind w:left="306" w:hanging="425"/>
              <w:contextualSpacing/>
              <w:rPr>
                <w:rFonts w:ascii="Arial" w:hAnsi="Arial" w:eastAsia="Calibri" w:cs="Arial" w:eastAsiaTheme="minorHAnsi"/>
                <w:color w:val="auto"/>
                <w:kern w:val="0"/>
                <w:sz w:val="24"/>
                <w:szCs w:val="24"/>
              </w:rPr>
            </w:pPr>
            <w:r>
              <w:rPr>
                <w:rFonts w:eastAsia="Calibri" w:cs="Arial" w:ascii="Arial" w:hAnsi="Arial" w:eastAsiaTheme="minorHAnsi"/>
                <w:color w:val="auto"/>
                <w:kern w:val="0"/>
                <w:sz w:val="24"/>
                <w:szCs w:val="24"/>
                <w:lang w:eastAsia="en-US"/>
              </w:rPr>
              <w:t>11. Aktywizacja mieszkańców wsi na rzecz podejmowania inicjatyw służących włączeniu społecznemu, w szczególności osób starszych, młodzieży, niepełnosprawnych, mniejszości narodowych i innych osób wykluczonych społecznie.</w:t>
            </w:r>
          </w:p>
        </w:tc>
      </w:tr>
    </w:tbl>
    <w:p>
      <w:pPr>
        <w:pStyle w:val="Normal"/>
        <w:tabs>
          <w:tab w:val="clear" w:pos="720"/>
          <w:tab w:val="left" w:pos="690" w:leader="none"/>
        </w:tabs>
        <w:spacing w:lineRule="auto" w:line="276" w:before="60" w:after="60"/>
        <w:jc w:val="both"/>
        <w:rPr>
          <w:rFonts w:ascii="Arial" w:hAnsi="Arial" w:cs="Arial"/>
          <w:sz w:val="24"/>
          <w:szCs w:val="24"/>
        </w:rPr>
      </w:pPr>
      <w:r>
        <w:rPr>
          <w:rFonts w:cs="Arial" w:ascii="Arial" w:hAnsi="Arial"/>
          <w:sz w:val="24"/>
          <w:szCs w:val="24"/>
        </w:rPr>
      </w:r>
    </w:p>
    <w:p>
      <w:pPr>
        <w:pStyle w:val="Akapitzlist1"/>
        <w:numPr>
          <w:ilvl w:val="0"/>
          <w:numId w:val="27"/>
        </w:numPr>
        <w:spacing w:lineRule="auto" w:line="276" w:before="60" w:after="60"/>
        <w:ind w:left="425" w:hanging="425"/>
        <w:contextualSpacing/>
        <w:jc w:val="both"/>
        <w:rPr>
          <w:rFonts w:ascii="Arial" w:hAnsi="Arial" w:cs="Arial"/>
          <w:sz w:val="24"/>
          <w:szCs w:val="24"/>
        </w:rPr>
      </w:pPr>
      <w:r>
        <w:rPr>
          <w:rFonts w:cs="Arial" w:ascii="Arial" w:hAnsi="Arial"/>
          <w:sz w:val="24"/>
          <w:szCs w:val="24"/>
        </w:rPr>
        <w:t>Celem konkursu jest wybór operacji do realizacji w ramach dwuletniego planu operacyjnego, które będą finansowane ze środków KSOW.</w:t>
      </w:r>
    </w:p>
    <w:p>
      <w:pPr>
        <w:pStyle w:val="Akapitzlist1"/>
        <w:numPr>
          <w:ilvl w:val="0"/>
          <w:numId w:val="27"/>
        </w:numPr>
        <w:spacing w:lineRule="auto" w:line="276" w:before="60" w:after="60"/>
        <w:ind w:left="425" w:hanging="425"/>
        <w:contextualSpacing/>
        <w:jc w:val="both"/>
        <w:rPr>
          <w:rFonts w:ascii="Arial" w:hAnsi="Arial" w:cs="Arial"/>
          <w:sz w:val="24"/>
          <w:szCs w:val="24"/>
        </w:rPr>
      </w:pPr>
      <w:r>
        <w:rPr>
          <w:rFonts w:cs="Arial" w:ascii="Arial" w:hAnsi="Arial"/>
          <w:sz w:val="24"/>
          <w:szCs w:val="24"/>
        </w:rPr>
        <w:t>Konkurs jest ogłaszany przez Instytucję Zarządzającą.</w:t>
      </w:r>
    </w:p>
    <w:p>
      <w:pPr>
        <w:pStyle w:val="Akapitzlist1"/>
        <w:numPr>
          <w:ilvl w:val="0"/>
          <w:numId w:val="27"/>
        </w:numPr>
        <w:spacing w:lineRule="auto" w:line="276" w:before="60" w:after="60"/>
        <w:ind w:left="425" w:hanging="425"/>
        <w:contextualSpacing/>
        <w:jc w:val="both"/>
        <w:rPr>
          <w:rFonts w:ascii="Arial" w:hAnsi="Arial" w:cs="Arial"/>
          <w:sz w:val="24"/>
          <w:szCs w:val="24"/>
        </w:rPr>
      </w:pPr>
      <w:r>
        <w:rPr>
          <w:rFonts w:cs="Arial" w:ascii="Arial" w:hAnsi="Arial"/>
          <w:sz w:val="24"/>
          <w:szCs w:val="24"/>
        </w:rPr>
        <w:t xml:space="preserve">Ogłoszenie o konkursie jest zamieszczane na: </w:t>
      </w:r>
      <w:r>
        <w:rPr>
          <w:rStyle w:val="Czeinternetowe"/>
          <w:rFonts w:cs="Arial" w:ascii="Arial" w:hAnsi="Arial"/>
          <w:color w:val="auto"/>
          <w:sz w:val="24"/>
          <w:szCs w:val="24"/>
          <w:u w:val="none"/>
        </w:rPr>
        <w:t>Portalu</w:t>
      </w:r>
      <w:r>
        <w:rPr>
          <w:rFonts w:cs="Arial" w:ascii="Arial" w:hAnsi="Arial"/>
          <w:sz w:val="24"/>
          <w:szCs w:val="24"/>
        </w:rPr>
        <w:t xml:space="preserve"> </w:t>
      </w:r>
      <w:r>
        <w:rPr>
          <w:rFonts w:cs="Arial" w:ascii="Arial" w:hAnsi="Arial"/>
          <w:color w:val="auto"/>
          <w:sz w:val="24"/>
          <w:szCs w:val="24"/>
          <w:u w:val="none"/>
        </w:rPr>
        <w:t>KSOW,</w:t>
      </w:r>
      <w:r>
        <w:rPr>
          <w:rFonts w:cs="Arial" w:ascii="Arial" w:hAnsi="Arial"/>
          <w:sz w:val="24"/>
          <w:szCs w:val="24"/>
        </w:rPr>
        <w:t xml:space="preserve"> Portalu regionalnym KSOW, stronie internetowej </w:t>
      </w:r>
      <w:r>
        <w:rPr>
          <w:rStyle w:val="Czeinternetowe"/>
          <w:rFonts w:cs="Arial" w:ascii="Arial" w:hAnsi="Arial"/>
          <w:color w:val="auto"/>
          <w:sz w:val="24"/>
          <w:szCs w:val="24"/>
          <w:u w:val="none"/>
        </w:rPr>
        <w:t>MRiRW</w:t>
      </w:r>
      <w:r>
        <w:rPr>
          <w:rFonts w:cs="Arial" w:ascii="Arial" w:hAnsi="Arial"/>
          <w:sz w:val="24"/>
          <w:szCs w:val="24"/>
        </w:rPr>
        <w:t xml:space="preserve"> oraz stronach internetowych urzędów marszałkowskich. </w:t>
      </w:r>
    </w:p>
    <w:p>
      <w:pPr>
        <w:pStyle w:val="Akapitzlist1"/>
        <w:numPr>
          <w:ilvl w:val="0"/>
          <w:numId w:val="27"/>
        </w:numPr>
        <w:spacing w:lineRule="auto" w:line="276" w:before="60" w:after="60"/>
        <w:contextualSpacing/>
        <w:jc w:val="both"/>
        <w:rPr>
          <w:rFonts w:ascii="Arial" w:hAnsi="Arial" w:cs="Arial"/>
          <w:b/>
          <w:b/>
          <w:sz w:val="24"/>
          <w:szCs w:val="24"/>
          <w:lang w:eastAsia="ar-SA"/>
        </w:rPr>
      </w:pPr>
      <w:r>
        <w:rPr>
          <w:rFonts w:cs="Arial" w:ascii="Arial" w:hAnsi="Arial"/>
          <w:sz w:val="24"/>
          <w:szCs w:val="24"/>
        </w:rPr>
        <w:t xml:space="preserve">Wybór operacji następuje zgodnie z przepisami </w:t>
      </w:r>
      <w:r>
        <w:rPr>
          <w:rFonts w:cs="Arial" w:ascii="Arial" w:hAnsi="Arial"/>
          <w:sz w:val="24"/>
          <w:szCs w:val="24"/>
          <w:lang w:eastAsia="ar-SA"/>
        </w:rPr>
        <w:t>ustawy ROW i r</w:t>
      </w:r>
      <w:r>
        <w:rPr>
          <w:rFonts w:cs="Arial" w:ascii="Arial" w:hAnsi="Arial"/>
          <w:sz w:val="24"/>
          <w:szCs w:val="24"/>
        </w:rPr>
        <w:t xml:space="preserve">ozporządzenia KSOW </w:t>
      </w:r>
      <w:r>
        <w:rPr>
          <w:rFonts w:cs="Arial" w:ascii="Arial" w:hAnsi="Arial"/>
          <w:sz w:val="24"/>
          <w:szCs w:val="24"/>
          <w:lang w:eastAsia="ar-SA"/>
        </w:rPr>
        <w:t>oraz w oparciu o Przewodnik po ocenie wniosku, stanowiący załącznik do niniejszego Regulaminu.</w:t>
      </w:r>
      <w:r>
        <w:rPr>
          <w:rFonts w:cs="Arial" w:ascii="Arial" w:hAnsi="Arial"/>
          <w:sz w:val="24"/>
          <w:szCs w:val="24"/>
        </w:rPr>
        <w:t xml:space="preserve"> </w:t>
      </w:r>
      <w:r>
        <w:rPr>
          <w:rFonts w:cs="Arial" w:ascii="Arial" w:hAnsi="Arial"/>
          <w:sz w:val="24"/>
          <w:szCs w:val="24"/>
          <w:lang w:eastAsia="ar-SA"/>
        </w:rPr>
        <w:t>Do postępowań w sprawach dotyczących wyboru operacji partnerów KSOW nie stosuje się przepisów Kodeksu postępowania administracyjnego, z wyjątkiem przepisów dotyczących właściwości miejscowej organów, wyłączenia pracowników organu, doręczeń i wezwań, udostępniania akt, o ile przepisy ustawy ROW nie stanowią inaczej. Przepisy art. 27 ust. 1 i 2 ustawy ROW stosuje się odpowiednio.</w:t>
      </w:r>
    </w:p>
    <w:p>
      <w:pPr>
        <w:pStyle w:val="Akapitzlist1"/>
        <w:numPr>
          <w:ilvl w:val="0"/>
          <w:numId w:val="27"/>
        </w:numPr>
        <w:spacing w:lineRule="auto" w:line="276" w:before="60" w:after="60"/>
        <w:ind w:left="425" w:hanging="425"/>
        <w:contextualSpacing/>
        <w:jc w:val="both"/>
        <w:rPr>
          <w:rFonts w:ascii="Arial" w:hAnsi="Arial" w:cs="Arial"/>
          <w:sz w:val="24"/>
          <w:szCs w:val="24"/>
          <w:lang w:eastAsia="ar-SA"/>
        </w:rPr>
      </w:pPr>
      <w:r>
        <w:rPr>
          <w:rFonts w:cs="Arial" w:ascii="Arial" w:hAnsi="Arial"/>
          <w:sz w:val="24"/>
          <w:szCs w:val="24"/>
        </w:rPr>
        <w:t xml:space="preserve">Wybór operacji partnera KSOW następuje na jego wniosek złożony do właściwej jednostki regionalnej, na jej adres wskazany w ogłoszeniu. </w:t>
      </w:r>
    </w:p>
    <w:p>
      <w:pPr>
        <w:pStyle w:val="Akapitzlist1"/>
        <w:numPr>
          <w:ilvl w:val="0"/>
          <w:numId w:val="27"/>
        </w:numPr>
        <w:spacing w:lineRule="auto" w:line="276" w:before="60" w:after="60"/>
        <w:ind w:left="425" w:hanging="425"/>
        <w:contextualSpacing/>
        <w:jc w:val="both"/>
        <w:rPr>
          <w:rFonts w:ascii="Arial" w:hAnsi="Arial" w:cs="Arial"/>
          <w:sz w:val="24"/>
          <w:szCs w:val="24"/>
          <w:lang w:eastAsia="ar-SA"/>
        </w:rPr>
      </w:pPr>
      <w:r>
        <w:rPr>
          <w:rFonts w:cs="Arial" w:ascii="Arial" w:hAnsi="Arial"/>
          <w:sz w:val="24"/>
          <w:szCs w:val="24"/>
          <w:lang w:eastAsia="ar-SA"/>
        </w:rPr>
        <w:t>Konkurs jest przeprowadzany na terytorium Rzeczypospolitej Polskiej.</w:t>
      </w:r>
    </w:p>
    <w:p>
      <w:pPr>
        <w:pStyle w:val="Akapitzlist1"/>
        <w:numPr>
          <w:ilvl w:val="0"/>
          <w:numId w:val="27"/>
        </w:numPr>
        <w:spacing w:lineRule="auto" w:line="276" w:before="60" w:after="60"/>
        <w:ind w:left="425" w:hanging="425"/>
        <w:contextualSpacing/>
        <w:jc w:val="both"/>
        <w:rPr>
          <w:rFonts w:ascii="Arial" w:hAnsi="Arial" w:cs="Arial"/>
          <w:sz w:val="24"/>
          <w:szCs w:val="24"/>
          <w:lang w:eastAsia="ar-SA"/>
        </w:rPr>
      </w:pPr>
      <w:r>
        <w:rPr>
          <w:rFonts w:cs="Arial" w:ascii="Arial" w:hAnsi="Arial"/>
          <w:sz w:val="24"/>
          <w:szCs w:val="24"/>
          <w:lang w:eastAsia="ar-SA"/>
        </w:rPr>
        <w:t>Konkurs przeprowadzany jest jawnie z zapewnieniem publicznego dostępu do informacji o zasadach jego realizacji oraz do listy operacji wybranych do realizacji.</w:t>
      </w:r>
    </w:p>
    <w:p>
      <w:pPr>
        <w:pStyle w:val="Akapitzlist1"/>
        <w:numPr>
          <w:ilvl w:val="0"/>
          <w:numId w:val="27"/>
        </w:numPr>
        <w:spacing w:lineRule="auto" w:line="276" w:before="60" w:after="60"/>
        <w:ind w:left="425" w:hanging="425"/>
        <w:contextualSpacing/>
        <w:jc w:val="both"/>
        <w:rPr>
          <w:rFonts w:ascii="Arial" w:hAnsi="Arial" w:eastAsia="Times New Roman" w:cs="Arial"/>
          <w:iCs/>
          <w:sz w:val="24"/>
          <w:szCs w:val="24"/>
          <w:lang w:eastAsia="ar-SA"/>
        </w:rPr>
      </w:pPr>
      <w:r>
        <w:rPr>
          <w:rFonts w:cs="Arial" w:ascii="Arial" w:hAnsi="Arial"/>
          <w:sz w:val="24"/>
          <w:szCs w:val="24"/>
          <w:lang w:eastAsia="ar-SA"/>
        </w:rPr>
        <w:t>Wszystkie terminy realizacji czynności określonych w niniejszym Regulaminie, jeśli nie wskazano inaczej, wyrażone są w dniach kalendarzowych.</w:t>
      </w:r>
    </w:p>
    <w:p>
      <w:pPr>
        <w:pStyle w:val="Akapitzlist1"/>
        <w:numPr>
          <w:ilvl w:val="0"/>
          <w:numId w:val="27"/>
        </w:numPr>
        <w:spacing w:lineRule="auto" w:line="276" w:before="60" w:after="60"/>
        <w:ind w:left="425" w:hanging="425"/>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Jeżeli początkiem terminu określonego w dniach jest pewne zdarzenia, przy obliczaniu tego terminu nie uwzględnia się dnia, w którym zdarzenie to nastąpiło. Upływ ostatniego z wyznaczonej liczby dni uważa się za koniec terminu.</w:t>
      </w:r>
    </w:p>
    <w:p>
      <w:pPr>
        <w:pStyle w:val="Akapitzlist1"/>
        <w:numPr>
          <w:ilvl w:val="0"/>
          <w:numId w:val="27"/>
        </w:numPr>
        <w:spacing w:lineRule="auto" w:line="276" w:before="60" w:after="60"/>
        <w:contextualSpacing/>
        <w:jc w:val="both"/>
        <w:rPr>
          <w:rFonts w:ascii="Arial" w:hAnsi="Arial" w:cs="Arial"/>
          <w:b/>
          <w:b/>
          <w:caps/>
          <w:sz w:val="24"/>
          <w:szCs w:val="24"/>
          <w:lang w:eastAsia="ar-SA"/>
        </w:rPr>
      </w:pPr>
      <w:r>
        <w:rPr>
          <w:rFonts w:eastAsia="Times New Roman" w:cs="Arial" w:ascii="Arial" w:hAnsi="Arial"/>
          <w:iCs/>
          <w:sz w:val="24"/>
          <w:szCs w:val="24"/>
          <w:lang w:eastAsia="ar-SA"/>
        </w:rPr>
        <w:t>Jeżeli koniec terminu przypada na dzień ustawowo wolny od pracy lub sobotę, z wyjątkiem sobót pracujących na podstawie przepisów szczególnych, termin upływa następnego dnia, który nie jest dniem wolnym od pracy ani sobotą.</w:t>
      </w:r>
    </w:p>
    <w:p>
      <w:pPr>
        <w:pStyle w:val="Akapitzlist1"/>
        <w:numPr>
          <w:ilvl w:val="0"/>
          <w:numId w:val="27"/>
        </w:numPr>
        <w:spacing w:lineRule="auto" w:line="276" w:before="60" w:after="60"/>
        <w:contextualSpacing/>
        <w:jc w:val="both"/>
        <w:rPr>
          <w:rFonts w:ascii="Arial" w:hAnsi="Arial" w:cs="Arial"/>
          <w:b/>
          <w:b/>
          <w:caps/>
          <w:sz w:val="24"/>
          <w:szCs w:val="24"/>
          <w:lang w:eastAsia="ar-SA"/>
        </w:rPr>
      </w:pPr>
      <w:r>
        <w:rPr>
          <w:rFonts w:eastAsia="Times New Roman" w:cs="Arial" w:ascii="Arial" w:hAnsi="Arial"/>
          <w:iCs/>
          <w:sz w:val="24"/>
          <w:szCs w:val="24"/>
          <w:lang w:eastAsia="ar-SA"/>
        </w:rPr>
        <w:t xml:space="preserve">Operacje zgłoszone do konkursu muszą być zrealizowane i rozliczone do 31 grudnia 2021 r. Realizacja operacji w zakresie rzeczowym powinna zakończyć się nie później niż </w:t>
      </w:r>
      <w:r>
        <w:rPr>
          <w:rFonts w:eastAsia="Times New Roman" w:cs="Arial" w:ascii="Arial" w:hAnsi="Arial"/>
          <w:iCs/>
          <w:color w:val="00000A"/>
          <w:kern w:val="2"/>
          <w:sz w:val="24"/>
          <w:szCs w:val="24"/>
          <w:lang w:val="pl-PL" w:eastAsia="ar-SA" w:bidi="ar-SA"/>
        </w:rPr>
        <w:t>2</w:t>
      </w:r>
      <w:r>
        <w:rPr>
          <w:rFonts w:eastAsia="Times New Roman" w:cs="Arial" w:ascii="Arial" w:hAnsi="Arial"/>
          <w:iCs/>
          <w:sz w:val="24"/>
          <w:szCs w:val="24"/>
          <w:lang w:eastAsia="ar-SA"/>
        </w:rPr>
        <w:t xml:space="preserve"> </w:t>
      </w:r>
      <w:r>
        <w:rPr>
          <w:rFonts w:eastAsia="Times New Roman" w:cs="Arial" w:ascii="Arial" w:hAnsi="Arial"/>
          <w:iCs/>
          <w:color w:val="00000A"/>
          <w:kern w:val="2"/>
          <w:sz w:val="24"/>
          <w:szCs w:val="24"/>
          <w:lang w:val="pl-PL" w:eastAsia="ar-SA" w:bidi="ar-SA"/>
        </w:rPr>
        <w:t>listopada</w:t>
      </w:r>
      <w:r>
        <w:rPr>
          <w:rFonts w:eastAsia="Times New Roman" w:cs="Arial" w:ascii="Arial" w:hAnsi="Arial"/>
          <w:iCs/>
          <w:sz w:val="24"/>
          <w:szCs w:val="24"/>
          <w:lang w:eastAsia="ar-SA"/>
        </w:rPr>
        <w:t xml:space="preserve"> 2021 r.</w:t>
      </w:r>
    </w:p>
    <w:p>
      <w:pPr>
        <w:pStyle w:val="Normal"/>
        <w:spacing w:lineRule="auto" w:line="276" w:before="60" w:after="60"/>
        <w:ind w:left="360" w:hanging="357"/>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ind w:left="360" w:hanging="357"/>
        <w:jc w:val="center"/>
        <w:rPr>
          <w:rFonts w:ascii="Arial" w:hAnsi="Arial" w:cs="Arial"/>
          <w:b/>
          <w:b/>
          <w:bCs/>
          <w:sz w:val="24"/>
          <w:szCs w:val="24"/>
          <w:lang w:eastAsia="ar-SA"/>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5.</w:t>
      </w:r>
    </w:p>
    <w:p>
      <w:pPr>
        <w:pStyle w:val="Normal"/>
        <w:spacing w:lineRule="auto" w:line="276" w:before="60" w:after="60"/>
        <w:ind w:left="360" w:hanging="357"/>
        <w:jc w:val="center"/>
        <w:rPr>
          <w:rFonts w:ascii="Arial" w:hAnsi="Arial" w:eastAsia="Times New Roman" w:cs="Arial"/>
          <w:iCs/>
          <w:sz w:val="24"/>
          <w:szCs w:val="24"/>
          <w:lang w:eastAsia="ar-SA"/>
        </w:rPr>
      </w:pPr>
      <w:r>
        <w:rPr>
          <w:rFonts w:cs="Arial" w:ascii="Arial" w:hAnsi="Arial"/>
          <w:b/>
          <w:bCs/>
          <w:sz w:val="24"/>
          <w:szCs w:val="24"/>
          <w:lang w:eastAsia="ar-SA"/>
        </w:rPr>
        <w:t>Zasady finansowania operacji</w:t>
      </w:r>
    </w:p>
    <w:p>
      <w:pPr>
        <w:pStyle w:val="Akapitzlist1"/>
        <w:numPr>
          <w:ilvl w:val="0"/>
          <w:numId w:val="14"/>
        </w:numPr>
        <w:spacing w:lineRule="auto" w:line="276" w:before="60" w:after="60"/>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Operacje wybierane są do wysokości środków przydzielonych poszczególnym jednostkom regionalnym na działania zgodnie z treścią ogłoszenia o konkursie.</w:t>
      </w:r>
    </w:p>
    <w:p>
      <w:pPr>
        <w:pStyle w:val="Akapitzlist1"/>
        <w:numPr>
          <w:ilvl w:val="0"/>
          <w:numId w:val="14"/>
        </w:numPr>
        <w:spacing w:lineRule="auto" w:line="276" w:before="60" w:after="60"/>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Maksymalna wysokość kosztów kwalifikowalnych w ramach operacji może zostać wskazana w ogłoszeniu o konkursie.</w:t>
      </w:r>
    </w:p>
    <w:p>
      <w:pPr>
        <w:pStyle w:val="Akapitzlist1"/>
        <w:numPr>
          <w:ilvl w:val="0"/>
          <w:numId w:val="14"/>
        </w:numPr>
        <w:spacing w:lineRule="auto" w:line="276" w:before="60" w:after="60"/>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Rozpoczęcie realizacji operacji w zakresie rzeczowym i finansowym może nastąpić najwcześniej w dniu następującym po dniu złożenia wniosku o wybór operacji z wyjątkiem wkładu własnego, którego koszt może być poniesiony przed dniem złożenia wniosku. Zakończenie realizacji operacji w zakresie rzeczowym musi nastąpić najpóźniej w dniu wskazanym w ogłoszeniu o konkursie jako termin zakończenia realizacji operacji wybranych w ramach konkursu, a</w:t>
      </w:r>
      <w:r>
        <w:rPr>
          <w:rFonts w:eastAsia="Calibri" w:cs="Arial" w:ascii="Arial" w:hAnsi="Arial" w:eastAsiaTheme="minorHAnsi"/>
          <w:color w:val="auto"/>
          <w:kern w:val="0"/>
        </w:rPr>
        <w:t xml:space="preserve"> </w:t>
      </w:r>
      <w:r>
        <w:rPr>
          <w:rFonts w:eastAsia="Times New Roman" w:cs="Arial" w:ascii="Arial" w:hAnsi="Arial"/>
          <w:iCs/>
          <w:sz w:val="24"/>
          <w:szCs w:val="24"/>
          <w:lang w:eastAsia="ar-SA"/>
        </w:rPr>
        <w:t xml:space="preserve">koszty kwalifikowalne można ponosić najpóźniej do dnia złożenia poprawnie wypełnionego i kompletnego wniosku o refundację, składanego po zakończeniu realizacji zakresu rzeczowego. </w:t>
      </w:r>
    </w:p>
    <w:p>
      <w:pPr>
        <w:pStyle w:val="Akapitzlist1"/>
        <w:numPr>
          <w:ilvl w:val="0"/>
          <w:numId w:val="14"/>
        </w:numPr>
        <w:spacing w:lineRule="auto" w:line="276" w:before="60" w:after="60"/>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Koszty są kwalifikowalne, jeżeli są uzasadnione zakresem operacji, niezbędne do osiągnięcia jej celu, racjonalne, rzetelnie udokumentowane, możliwe do zweryfikowania oraz spójne z obowiązującymi przepisami, a w szczególności nie zostały ujęte na liście kosztów niekwalifikowalnych.</w:t>
      </w:r>
    </w:p>
    <w:p>
      <w:pPr>
        <w:pStyle w:val="Akapitzlist1"/>
        <w:numPr>
          <w:ilvl w:val="0"/>
          <w:numId w:val="14"/>
        </w:numPr>
        <w:spacing w:lineRule="auto" w:line="276"/>
        <w:ind w:left="425" w:hanging="425"/>
        <w:jc w:val="both"/>
        <w:rPr>
          <w:rFonts w:ascii="Arial" w:hAnsi="Arial" w:eastAsia="Times New Roman" w:cs="Arial"/>
          <w:b/>
          <w:b/>
          <w:iCs/>
          <w:sz w:val="24"/>
          <w:szCs w:val="24"/>
          <w:lang w:eastAsia="ar-SA"/>
        </w:rPr>
      </w:pPr>
      <w:r>
        <w:rPr>
          <w:rFonts w:eastAsia="Times New Roman" w:cs="Arial" w:ascii="Arial" w:hAnsi="Arial"/>
          <w:iCs/>
          <w:sz w:val="24"/>
          <w:szCs w:val="24"/>
          <w:lang w:eastAsia="ar-SA"/>
        </w:rPr>
        <w:t>Kwalifikowalność kosztów operacji jest określona w § 3 ust. 2, 3, 11, 11a i 12 rozporządzenia PT, Podręczniku kwalifikowalności kosztów pomocy technicznej PROW 2014</w:t>
        <w:softHyphen/>
        <w:t>–2020, stanowiącym załącznik do ogłoszenia o konkursie, Instrukcji wypełnienia formularza wniosku o wybór operacji oraz w niniejszym Regulaminie.</w:t>
      </w:r>
    </w:p>
    <w:p>
      <w:pPr>
        <w:pStyle w:val="Akapitzlist1"/>
        <w:numPr>
          <w:ilvl w:val="0"/>
          <w:numId w:val="14"/>
        </w:numPr>
        <w:spacing w:lineRule="auto" w:line="276" w:before="60" w:after="60"/>
        <w:ind w:left="425" w:hanging="425"/>
        <w:contextualSpacing/>
        <w:jc w:val="both"/>
        <w:rPr>
          <w:rFonts w:ascii="Arial" w:hAnsi="Arial" w:eastAsia="Times New Roman" w:cs="Arial"/>
          <w:iCs/>
          <w:sz w:val="24"/>
          <w:szCs w:val="24"/>
          <w:lang w:eastAsia="ar-SA"/>
        </w:rPr>
      </w:pPr>
      <w:r>
        <w:rPr>
          <w:rFonts w:cs="Arial" w:ascii="Arial" w:hAnsi="Arial"/>
          <w:sz w:val="24"/>
          <w:szCs w:val="24"/>
          <w:lang w:eastAsia="ar-SA"/>
        </w:rPr>
        <w:t>W kosztach kwalifikowalnych realizacji operacji nie zostaną uwzględnione koszty, które w trakcie oceny uznane zostały przez jednostkę regionalną za nieuzasadnione pod względem ich zgodności z zakresem operacji, niezbędności do osiągnięcia jej celu lub racjonalności, przy czym, jeżeli wysokość kosztów uznanych za nieuzasadnione przekroczy 15% kosztów zadeklarowanych jako kwalifikowalne, operacja nie zostanie wybrana.</w:t>
      </w:r>
    </w:p>
    <w:p>
      <w:pPr>
        <w:pStyle w:val="Akapitzlist1"/>
        <w:numPr>
          <w:ilvl w:val="0"/>
          <w:numId w:val="14"/>
        </w:numPr>
        <w:spacing w:lineRule="auto" w:line="276" w:before="60" w:after="60"/>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Koszty poniesione na realizację operacji są refundowane w wysokości do 100% kosztów kwalifikowalnych.</w:t>
      </w:r>
    </w:p>
    <w:p>
      <w:pPr>
        <w:pStyle w:val="Akapitzlist1"/>
        <w:numPr>
          <w:ilvl w:val="0"/>
          <w:numId w:val="14"/>
        </w:numPr>
        <w:spacing w:lineRule="auto" w:line="276" w:before="60" w:after="60"/>
        <w:ind w:left="425" w:hanging="425"/>
        <w:contextualSpacing/>
        <w:jc w:val="both"/>
        <w:rPr>
          <w:rFonts w:ascii="Arial" w:hAnsi="Arial" w:eastAsia="Times New Roman" w:cs="Arial"/>
          <w:iCs/>
          <w:szCs w:val="24"/>
          <w:lang w:eastAsia="ar-SA"/>
        </w:rPr>
      </w:pPr>
      <w:r>
        <w:rPr>
          <w:rFonts w:eastAsia="Times New Roman" w:cs="Arial" w:ascii="Arial" w:hAnsi="Arial"/>
          <w:iCs/>
          <w:sz w:val="24"/>
          <w:szCs w:val="24"/>
          <w:lang w:eastAsia="ar-SA"/>
        </w:rPr>
        <w:t>Koszty kwalifikowalne obejmują koszty:</w:t>
      </w:r>
    </w:p>
    <w:p>
      <w:pPr>
        <w:pStyle w:val="PKTpunkt"/>
        <w:spacing w:lineRule="auto" w:line="276" w:before="60" w:after="60"/>
        <w:ind w:left="1133" w:hanging="425"/>
        <w:jc w:val="both"/>
        <w:rPr>
          <w:rFonts w:ascii="Arial" w:hAnsi="Arial" w:eastAsia="Times New Roman"/>
          <w:bCs w:val="false"/>
          <w:iCs/>
          <w:szCs w:val="24"/>
          <w:lang w:eastAsia="ar-SA"/>
        </w:rPr>
      </w:pPr>
      <w:r>
        <w:rPr>
          <w:rFonts w:eastAsia="Times New Roman" w:ascii="Arial" w:hAnsi="Arial"/>
          <w:bCs w:val="false"/>
          <w:iCs/>
          <w:szCs w:val="24"/>
          <w:lang w:eastAsia="ar-SA"/>
        </w:rPr>
        <w:t>1)</w:t>
        <w:tab/>
        <w:t>dostaw i usług, w tym wynagrodzeń bezosobowych;</w:t>
      </w:r>
    </w:p>
    <w:p>
      <w:pPr>
        <w:pStyle w:val="PKTpunkt"/>
        <w:spacing w:lineRule="auto" w:line="276" w:before="60" w:after="60"/>
        <w:ind w:left="1134" w:hanging="425"/>
        <w:jc w:val="both"/>
        <w:rPr>
          <w:rFonts w:ascii="Arial" w:hAnsi="Arial" w:eastAsia="Times New Roman"/>
          <w:bCs w:val="false"/>
          <w:iCs/>
          <w:szCs w:val="24"/>
          <w:lang w:eastAsia="ar-SA"/>
        </w:rPr>
      </w:pPr>
      <w:r>
        <w:rPr>
          <w:rFonts w:eastAsia="Times New Roman" w:ascii="Arial" w:hAnsi="Arial"/>
          <w:bCs w:val="false"/>
          <w:iCs/>
          <w:szCs w:val="24"/>
          <w:lang w:eastAsia="ar-SA"/>
        </w:rPr>
        <w:t>2)</w:t>
        <w:tab/>
        <w:t>podróży służbowych pracowników partnera KSOW, w tym diet wypłaconych temu pracownikowi z tytułu podróży służbowej, oraz przejazdów, dojazdów środkami komunikacji miejscowej i noclegów poniesionych przez inne osoby w związku z realizacją operacji;</w:t>
      </w:r>
    </w:p>
    <w:p>
      <w:pPr>
        <w:pStyle w:val="PKTpunkt"/>
        <w:spacing w:lineRule="auto" w:line="276" w:before="60" w:after="60"/>
        <w:ind w:left="1134" w:hanging="425"/>
        <w:jc w:val="both"/>
        <w:rPr>
          <w:rFonts w:ascii="Arial" w:hAnsi="Arial" w:eastAsia="Times New Roman"/>
          <w:iCs/>
          <w:szCs w:val="24"/>
          <w:lang w:eastAsia="ar-SA"/>
        </w:rPr>
      </w:pPr>
      <w:r>
        <w:rPr>
          <w:rFonts w:eastAsia="Times New Roman" w:ascii="Arial" w:hAnsi="Arial"/>
          <w:bCs w:val="false"/>
          <w:iCs/>
          <w:szCs w:val="24"/>
          <w:lang w:eastAsia="ar-SA"/>
        </w:rPr>
        <w:t>3)</w:t>
        <w:tab/>
        <w:t>nagród rzeczowych i finansowych dla laureatów i osób wyróżnionych w konkursach.</w:t>
      </w:r>
    </w:p>
    <w:p>
      <w:pPr>
        <w:pStyle w:val="Akapitzlist1"/>
        <w:numPr>
          <w:ilvl w:val="0"/>
          <w:numId w:val="14"/>
        </w:numPr>
        <w:spacing w:lineRule="auto" w:line="276" w:before="60" w:after="60"/>
        <w:ind w:left="425" w:hanging="425"/>
        <w:contextualSpacing/>
        <w:jc w:val="both"/>
        <w:rPr>
          <w:rFonts w:ascii="Arial" w:hAnsi="Arial" w:cs="Arial"/>
        </w:rPr>
      </w:pPr>
      <w:r>
        <w:rPr>
          <w:rFonts w:eastAsia="Times New Roman" w:cs="Arial" w:ascii="Arial" w:hAnsi="Arial"/>
          <w:iCs/>
          <w:sz w:val="24"/>
          <w:szCs w:val="24"/>
          <w:lang w:eastAsia="ar-SA"/>
        </w:rPr>
        <w:t>Koszty</w:t>
      </w:r>
      <w:r>
        <w:rPr>
          <w:rFonts w:eastAsia="Times New Roman" w:cs="Arial" w:ascii="Arial" w:hAnsi="Arial"/>
          <w:bCs/>
          <w:iCs/>
          <w:szCs w:val="24"/>
          <w:lang w:eastAsia="ar-SA"/>
        </w:rPr>
        <w:t xml:space="preserve"> </w:t>
      </w:r>
      <w:r>
        <w:rPr>
          <w:rFonts w:eastAsia="Times New Roman" w:cs="Arial" w:ascii="Arial" w:hAnsi="Arial"/>
          <w:bCs/>
          <w:iCs/>
          <w:sz w:val="24"/>
          <w:szCs w:val="24"/>
          <w:lang w:eastAsia="ar-SA"/>
        </w:rPr>
        <w:t>dostaw i usług</w:t>
      </w:r>
      <w:r>
        <w:rPr>
          <w:rFonts w:eastAsia="Times New Roman" w:cs="Arial" w:ascii="Arial" w:hAnsi="Arial"/>
          <w:iCs/>
          <w:sz w:val="24"/>
          <w:szCs w:val="24"/>
          <w:lang w:eastAsia="ar-SA"/>
        </w:rPr>
        <w:t xml:space="preserve">, o których mowa w ust. 8 pkt 1, mogą być ponoszone w ramach umowy cywilnoprawnej zawartej przez partnera KSOW z własnym pracownikiem (w przypadku umowy cywilnoprawnej kwota netto równa się kwocie brutto), obejmującej również koszty składek na ubezpieczenia społeczne i zdrowotne. </w:t>
      </w:r>
    </w:p>
    <w:p>
      <w:pPr>
        <w:pStyle w:val="Akapitzlist1"/>
        <w:numPr>
          <w:ilvl w:val="0"/>
          <w:numId w:val="14"/>
        </w:numPr>
        <w:spacing w:lineRule="auto" w:line="276" w:before="60" w:after="60"/>
        <w:ind w:left="425" w:hanging="425"/>
        <w:contextualSpacing/>
        <w:jc w:val="both"/>
        <w:rPr>
          <w:rFonts w:ascii="Arial" w:hAnsi="Arial" w:cs="Arial"/>
          <w:sz w:val="24"/>
          <w:szCs w:val="24"/>
        </w:rPr>
      </w:pPr>
      <w:r>
        <w:rPr>
          <w:rFonts w:eastAsia="Times New Roman" w:cs="Arial" w:ascii="Arial" w:hAnsi="Arial"/>
          <w:iCs/>
          <w:sz w:val="24"/>
          <w:szCs w:val="24"/>
          <w:lang w:eastAsia="ar-SA"/>
        </w:rPr>
        <w:t>Do</w:t>
      </w:r>
      <w:r>
        <w:rPr>
          <w:rFonts w:cs="Arial" w:ascii="Arial" w:hAnsi="Arial"/>
          <w:sz w:val="24"/>
          <w:szCs w:val="24"/>
        </w:rPr>
        <w:t xml:space="preserve"> kosztów kwalifikowalnych operacji nie zalicza się w szczególności następujących kosztów (koszty niekwalifikowalne, niepodlegające refundacji):</w:t>
      </w:r>
    </w:p>
    <w:p>
      <w:pPr>
        <w:pStyle w:val="Akapitzlist1"/>
        <w:numPr>
          <w:ilvl w:val="0"/>
          <w:numId w:val="8"/>
        </w:numPr>
        <w:spacing w:lineRule="auto" w:line="276" w:before="60" w:after="60"/>
        <w:ind w:left="1077" w:hanging="357"/>
        <w:contextualSpacing/>
        <w:jc w:val="both"/>
        <w:rPr>
          <w:rFonts w:ascii="Arial" w:hAnsi="Arial" w:cs="Arial"/>
          <w:sz w:val="24"/>
          <w:szCs w:val="24"/>
        </w:rPr>
      </w:pPr>
      <w:r>
        <w:rPr>
          <w:rFonts w:cs="Arial" w:ascii="Arial" w:hAnsi="Arial"/>
          <w:sz w:val="24"/>
          <w:szCs w:val="24"/>
        </w:rPr>
        <w:t xml:space="preserve">zakupu środków transportu; </w:t>
      </w:r>
    </w:p>
    <w:p>
      <w:pPr>
        <w:pStyle w:val="Akapitzlist1"/>
        <w:numPr>
          <w:ilvl w:val="0"/>
          <w:numId w:val="8"/>
        </w:numPr>
        <w:spacing w:lineRule="auto" w:line="276" w:before="60" w:after="60"/>
        <w:ind w:left="1077" w:hanging="360"/>
        <w:contextualSpacing/>
        <w:jc w:val="both"/>
        <w:rPr>
          <w:rFonts w:ascii="Arial" w:hAnsi="Arial" w:cs="Arial"/>
          <w:sz w:val="24"/>
          <w:szCs w:val="24"/>
        </w:rPr>
      </w:pPr>
      <w:r>
        <w:rPr>
          <w:rFonts w:cs="Arial" w:ascii="Arial" w:hAnsi="Arial"/>
          <w:sz w:val="24"/>
          <w:szCs w:val="24"/>
        </w:rPr>
        <w:t>związanych z umową leasingu środków transportu, zakończonego przeniesieniem prawa własności tych środków transportu;</w:t>
      </w:r>
    </w:p>
    <w:p>
      <w:pPr>
        <w:pStyle w:val="Akapitzlist1"/>
        <w:numPr>
          <w:ilvl w:val="0"/>
          <w:numId w:val="8"/>
        </w:numPr>
        <w:spacing w:lineRule="auto" w:line="276" w:before="60" w:after="60"/>
        <w:ind w:left="1077" w:hanging="360"/>
        <w:contextualSpacing/>
        <w:jc w:val="both"/>
        <w:rPr>
          <w:rFonts w:ascii="Arial" w:hAnsi="Arial" w:cs="Arial"/>
          <w:sz w:val="24"/>
          <w:szCs w:val="24"/>
        </w:rPr>
      </w:pPr>
      <w:r>
        <w:rPr>
          <w:rFonts w:cs="Arial" w:ascii="Arial" w:hAnsi="Arial"/>
          <w:sz w:val="24"/>
          <w:szCs w:val="24"/>
        </w:rPr>
        <w:t>zakupu alkoholu, z wyjątkiem alkoholu wpisanego na listę produktów tradycyjnych, o której mowa w art. 47 ust. 1 ustawy z dnia 17 grudnia 2004 r. o rejestracji i ochronie nazw i oznaczeń produktów rolnych i środków spożywczych oraz o produktach tradycyjnych (Dz. U. z 2019 r. poz. 915, z późn. zm.), kupionego w związku z realizacją operacji w celach promocji dziedzictwa kulturowego regionu, w którym jest wytwarzany;</w:t>
      </w:r>
    </w:p>
    <w:p>
      <w:pPr>
        <w:pStyle w:val="Akapitzlist1"/>
        <w:numPr>
          <w:ilvl w:val="0"/>
          <w:numId w:val="8"/>
        </w:numPr>
        <w:spacing w:lineRule="auto" w:line="276" w:before="60" w:after="60"/>
        <w:ind w:left="1077" w:hanging="360"/>
        <w:contextualSpacing/>
        <w:jc w:val="both"/>
        <w:rPr>
          <w:rFonts w:ascii="Arial" w:hAnsi="Arial" w:cs="Arial"/>
          <w:sz w:val="24"/>
          <w:szCs w:val="24"/>
        </w:rPr>
      </w:pPr>
      <w:r>
        <w:rPr>
          <w:rFonts w:cs="Arial" w:ascii="Arial" w:hAnsi="Arial"/>
          <w:sz w:val="24"/>
          <w:szCs w:val="24"/>
        </w:rPr>
        <w:t>kursu języka obcego;</w:t>
      </w:r>
    </w:p>
    <w:p>
      <w:pPr>
        <w:pStyle w:val="Akapitzlist1"/>
        <w:numPr>
          <w:ilvl w:val="0"/>
          <w:numId w:val="8"/>
        </w:numPr>
        <w:spacing w:lineRule="auto" w:line="276" w:before="60" w:after="60"/>
        <w:ind w:left="1077" w:hanging="360"/>
        <w:contextualSpacing/>
        <w:jc w:val="both"/>
        <w:rPr>
          <w:rFonts w:ascii="Arial" w:hAnsi="Arial" w:cs="Arial"/>
          <w:sz w:val="24"/>
          <w:szCs w:val="24"/>
        </w:rPr>
      </w:pPr>
      <w:r>
        <w:rPr>
          <w:rFonts w:cs="Arial" w:ascii="Arial" w:hAnsi="Arial"/>
          <w:sz w:val="24"/>
          <w:szCs w:val="24"/>
        </w:rPr>
        <w:t>zakupu nieruchomości;</w:t>
      </w:r>
    </w:p>
    <w:p>
      <w:pPr>
        <w:pStyle w:val="Akapitzlist1"/>
        <w:numPr>
          <w:ilvl w:val="0"/>
          <w:numId w:val="8"/>
        </w:numPr>
        <w:spacing w:lineRule="auto" w:line="276" w:before="60" w:after="60"/>
        <w:ind w:left="1077" w:hanging="360"/>
        <w:contextualSpacing/>
        <w:jc w:val="both"/>
        <w:rPr>
          <w:rFonts w:ascii="Arial" w:hAnsi="Arial" w:cs="Arial"/>
        </w:rPr>
      </w:pPr>
      <w:r>
        <w:rPr>
          <w:rFonts w:cs="Arial" w:ascii="Arial" w:hAnsi="Arial"/>
          <w:sz w:val="24"/>
          <w:szCs w:val="24"/>
        </w:rPr>
        <w:t>remontów i modernizacji pomieszczeń;</w:t>
      </w:r>
    </w:p>
    <w:p>
      <w:pPr>
        <w:pStyle w:val="Akapitzlist1"/>
        <w:numPr>
          <w:ilvl w:val="0"/>
          <w:numId w:val="8"/>
        </w:numPr>
        <w:spacing w:lineRule="auto" w:line="276" w:before="60" w:after="60"/>
        <w:contextualSpacing/>
        <w:jc w:val="both"/>
        <w:rPr>
          <w:rFonts w:ascii="Arial" w:hAnsi="Arial" w:cs="Arial"/>
        </w:rPr>
      </w:pPr>
      <w:r>
        <w:rPr>
          <w:rFonts w:cs="Arial" w:ascii="Arial" w:hAnsi="Arial"/>
          <w:sz w:val="24"/>
          <w:szCs w:val="24"/>
        </w:rPr>
        <w:t>oprawy muzycznej/artystycznej, z wyjątkiem oprawy stanowiącej merytoryczną część operacji;</w:t>
      </w:r>
    </w:p>
    <w:p>
      <w:pPr>
        <w:pStyle w:val="Akapitzlist1"/>
        <w:numPr>
          <w:ilvl w:val="0"/>
          <w:numId w:val="8"/>
        </w:numPr>
        <w:spacing w:lineRule="auto" w:line="276" w:before="60" w:after="60"/>
        <w:contextualSpacing/>
        <w:jc w:val="both"/>
        <w:rPr>
          <w:rFonts w:ascii="Arial" w:hAnsi="Arial" w:cs="Arial"/>
        </w:rPr>
      </w:pPr>
      <w:r>
        <w:rPr>
          <w:rFonts w:cs="Arial" w:ascii="Arial" w:hAnsi="Arial"/>
          <w:sz w:val="24"/>
          <w:szCs w:val="24"/>
        </w:rPr>
        <w:t>nabycia rzeczy, którymi partner KSOW może rozporządzać lub z nich korzystać po zrealizowaniu operacji;</w:t>
      </w:r>
    </w:p>
    <w:p>
      <w:pPr>
        <w:pStyle w:val="Akapitzlist1"/>
        <w:numPr>
          <w:ilvl w:val="0"/>
          <w:numId w:val="8"/>
        </w:numPr>
        <w:spacing w:lineRule="auto" w:line="276" w:before="60" w:after="60"/>
        <w:contextualSpacing/>
        <w:jc w:val="both"/>
        <w:rPr>
          <w:rFonts w:ascii="Arial" w:hAnsi="Arial" w:cs="Arial"/>
        </w:rPr>
      </w:pPr>
      <w:r>
        <w:rPr>
          <w:rFonts w:cs="Arial" w:ascii="Arial" w:hAnsi="Arial"/>
          <w:sz w:val="24"/>
          <w:szCs w:val="24"/>
        </w:rPr>
        <w:t>praw majątkowych dotyczących</w:t>
      </w:r>
      <w:r>
        <w:rPr>
          <w:rFonts w:eastAsia="Times New Roman" w:cs="Arial" w:ascii="Arial" w:hAnsi="Arial"/>
          <w:color w:val="000000"/>
          <w:kern w:val="0"/>
          <w:sz w:val="23"/>
          <w:szCs w:val="23"/>
          <w:lang w:eastAsia="pl-PL"/>
        </w:rPr>
        <w:t xml:space="preserve"> </w:t>
      </w:r>
      <w:r>
        <w:rPr>
          <w:rFonts w:cs="Arial" w:ascii="Arial" w:hAnsi="Arial"/>
          <w:sz w:val="24"/>
          <w:szCs w:val="24"/>
        </w:rPr>
        <w:t>wartości niematerialnych i prawnych, w szczególności autorskich praw majątkowych, praw pokrewnych i licencji, z wyjątkiem kosztów, które nie podlegały i nie będą podlegać amortyzacji albo nie zostały i nie zostaną zaliczone jednorazowo do kosztów uzyskania przychodów, z zastrzeżeniem pkt 10;</w:t>
      </w:r>
    </w:p>
    <w:p>
      <w:pPr>
        <w:pStyle w:val="Akapitzlist1"/>
        <w:numPr>
          <w:ilvl w:val="0"/>
          <w:numId w:val="8"/>
        </w:numPr>
        <w:spacing w:lineRule="auto" w:line="276" w:before="60" w:after="60"/>
        <w:contextualSpacing/>
        <w:jc w:val="both"/>
        <w:rPr>
          <w:rFonts w:ascii="Arial" w:hAnsi="Arial" w:cs="Arial"/>
        </w:rPr>
      </w:pPr>
      <w:r>
        <w:rPr>
          <w:rFonts w:cs="Arial" w:ascii="Arial" w:hAnsi="Arial"/>
          <w:sz w:val="24"/>
        </w:rPr>
        <w:t>utworzenia albo modernizacji strony, aplikacji lub innych narzędzi internetowych, w tym nabycia autorskich praw majątkowych, praw pokrewnych lub licencji.</w:t>
      </w:r>
    </w:p>
    <w:p>
      <w:pPr>
        <w:pStyle w:val="Akapitzlist1"/>
        <w:numPr>
          <w:ilvl w:val="0"/>
          <w:numId w:val="14"/>
        </w:numPr>
        <w:spacing w:lineRule="auto" w:line="276" w:before="60" w:after="60"/>
        <w:ind w:left="425" w:hanging="425"/>
        <w:contextualSpacing/>
        <w:jc w:val="both"/>
        <w:rPr>
          <w:rFonts w:ascii="Arial" w:hAnsi="Arial" w:cs="Arial"/>
        </w:rPr>
      </w:pPr>
      <w:r>
        <w:rPr>
          <w:rFonts w:cs="Arial" w:ascii="Arial" w:hAnsi="Arial"/>
          <w:sz w:val="24"/>
          <w:szCs w:val="24"/>
        </w:rPr>
        <w:t xml:space="preserve"> </w:t>
      </w:r>
      <w:r>
        <w:rPr>
          <w:rFonts w:cs="Arial" w:ascii="Arial" w:hAnsi="Arial"/>
          <w:sz w:val="24"/>
          <w:szCs w:val="24"/>
        </w:rPr>
        <w:t>Partner KSOW nie może być wykonawcą zadania w ramach operacji, tj. dostawcą towaru lub usługi, w części obejmującej koszty kwalifikowalne, co oznacza, że nie może sam siebie tymi kosztami obciążyć. Koszty niepodlegające refundacji mogą być zadeklarowane jako wkład własny.</w:t>
      </w:r>
    </w:p>
    <w:p>
      <w:pPr>
        <w:pStyle w:val="Akapitzlist1"/>
        <w:spacing w:lineRule="auto" w:line="276" w:before="60" w:after="60"/>
        <w:ind w:left="1077" w:hanging="0"/>
        <w:contextualSpacing/>
        <w:jc w:val="both"/>
        <w:rPr>
          <w:rFonts w:ascii="Arial" w:hAnsi="Arial" w:cs="Arial"/>
          <w:sz w:val="24"/>
          <w:szCs w:val="24"/>
        </w:rPr>
      </w:pPr>
      <w:r>
        <w:rPr>
          <w:rFonts w:cs="Arial" w:ascii="Arial" w:hAnsi="Arial"/>
          <w:sz w:val="24"/>
          <w:szCs w:val="24"/>
        </w:rPr>
      </w:r>
    </w:p>
    <w:p>
      <w:pPr>
        <w:pStyle w:val="Normal"/>
        <w:spacing w:lineRule="auto" w:line="276" w:before="60" w:after="60"/>
        <w:ind w:left="360" w:hanging="357"/>
        <w:jc w:val="center"/>
        <w:rPr>
          <w:rFonts w:ascii="Arial" w:hAnsi="Arial" w:cs="Arial"/>
          <w:b/>
          <w:b/>
          <w:bCs/>
          <w:sz w:val="24"/>
          <w:szCs w:val="24"/>
          <w:lang w:eastAsia="ar-SA"/>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6.</w:t>
      </w:r>
    </w:p>
    <w:p>
      <w:pPr>
        <w:pStyle w:val="Normal"/>
        <w:spacing w:lineRule="auto" w:line="276" w:before="60" w:after="60"/>
        <w:ind w:left="360" w:hanging="357"/>
        <w:jc w:val="center"/>
        <w:rPr>
          <w:rFonts w:ascii="Arial" w:hAnsi="Arial" w:eastAsia="Times New Roman" w:cs="Arial"/>
          <w:iCs/>
          <w:sz w:val="24"/>
          <w:szCs w:val="24"/>
          <w:lang w:eastAsia="ar-SA"/>
        </w:rPr>
      </w:pPr>
      <w:r>
        <w:rPr>
          <w:rFonts w:cs="Arial" w:ascii="Arial" w:hAnsi="Arial"/>
          <w:b/>
          <w:bCs/>
          <w:sz w:val="24"/>
          <w:szCs w:val="24"/>
          <w:lang w:eastAsia="ar-SA"/>
        </w:rPr>
        <w:t xml:space="preserve">Sposób składania wniosków </w:t>
      </w:r>
    </w:p>
    <w:p>
      <w:pPr>
        <w:pStyle w:val="Akapitzlist1"/>
        <w:numPr>
          <w:ilvl w:val="0"/>
          <w:numId w:val="15"/>
        </w:numPr>
        <w:spacing w:lineRule="auto" w:line="276" w:before="60" w:after="60"/>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Wniosek o wybór operacji wraz z wymaganymi załącznikami należy składać w formie pisemnej na właściwym formularzu udostępnionym na Portalu</w:t>
      </w:r>
      <w:r>
        <w:rPr>
          <w:rFonts w:cs="Arial" w:ascii="Arial" w:hAnsi="Arial"/>
          <w:sz w:val="24"/>
          <w:szCs w:val="24"/>
        </w:rPr>
        <w:t xml:space="preserve"> </w:t>
      </w:r>
      <w:r>
        <w:rPr>
          <w:rFonts w:eastAsia="Times New Roman" w:cs="Arial" w:ascii="Arial" w:hAnsi="Arial"/>
          <w:iCs/>
          <w:sz w:val="24"/>
          <w:szCs w:val="24"/>
          <w:lang w:eastAsia="ar-SA"/>
        </w:rPr>
        <w:t>KSOW, Portalu regionalnym KSOW, stronie internetowej MRiRW, a także na stronach internetowych urzędów marszałkowskich.</w:t>
      </w:r>
    </w:p>
    <w:p>
      <w:pPr>
        <w:pStyle w:val="Akapitzlist1"/>
        <w:numPr>
          <w:ilvl w:val="0"/>
          <w:numId w:val="15"/>
        </w:numPr>
        <w:spacing w:lineRule="auto" w:line="276" w:before="60" w:after="60"/>
        <w:contextualSpacing/>
        <w:jc w:val="both"/>
        <w:rPr>
          <w:rFonts w:ascii="Arial" w:hAnsi="Arial" w:cs="Arial"/>
          <w:b/>
          <w:b/>
          <w:spacing w:val="20"/>
          <w:sz w:val="24"/>
          <w:szCs w:val="24"/>
        </w:rPr>
      </w:pPr>
      <w:r>
        <w:rPr>
          <w:rFonts w:eastAsia="Times New Roman" w:cs="Arial" w:ascii="Arial" w:hAnsi="Arial"/>
          <w:iCs/>
          <w:sz w:val="24"/>
          <w:szCs w:val="24"/>
          <w:lang w:eastAsia="ar-SA"/>
        </w:rPr>
        <w:t xml:space="preserve">Wniosek należy sporządzić zgodnie z Instrukcją wypełniania formularza wniosku o wybór operacji do realizacji w ramach </w:t>
      </w:r>
      <w:r>
        <w:rPr>
          <w:rFonts w:cs="Arial" w:ascii="Arial" w:hAnsi="Arial"/>
          <w:sz w:val="24"/>
          <w:szCs w:val="24"/>
        </w:rPr>
        <w:t xml:space="preserve">Planu działania Krajowej Sieci Obszarów Wiejskich na lata 2014–2020 </w:t>
      </w:r>
      <w:r>
        <w:rPr>
          <w:rFonts w:eastAsia="Times New Roman" w:cs="Arial" w:ascii="Arial" w:hAnsi="Arial"/>
          <w:iCs/>
          <w:sz w:val="24"/>
          <w:szCs w:val="24"/>
          <w:lang w:eastAsia="ar-SA"/>
        </w:rPr>
        <w:t>Planu operacyjny na lata 2020–2021, udostępnioną wraz z formularzem wniosku o wybór operacji na stronach internetowych wymienionych w ust. 1.</w:t>
      </w:r>
    </w:p>
    <w:p>
      <w:pPr>
        <w:pStyle w:val="Akapitzlist1"/>
        <w:numPr>
          <w:ilvl w:val="0"/>
          <w:numId w:val="15"/>
        </w:numPr>
        <w:spacing w:lineRule="auto" w:line="276" w:before="60" w:after="60"/>
        <w:ind w:left="425" w:hanging="425"/>
        <w:contextualSpacing/>
        <w:jc w:val="both"/>
        <w:rPr>
          <w:rFonts w:ascii="Arial" w:hAnsi="Arial" w:eastAsia="Times New Roman" w:cs="Arial"/>
          <w:iCs/>
          <w:sz w:val="24"/>
          <w:szCs w:val="24"/>
          <w:lang w:eastAsia="ar-SA"/>
        </w:rPr>
      </w:pPr>
      <w:r>
        <w:rPr>
          <w:rFonts w:eastAsia="Times New Roman" w:cs="Arial" w:ascii="Arial" w:hAnsi="Arial"/>
          <w:iCs/>
          <w:sz w:val="24"/>
          <w:szCs w:val="24"/>
          <w:lang w:eastAsia="ar-SA"/>
        </w:rPr>
        <w:t xml:space="preserve">Złożony wniosek musi być kompletny, co oznacza, że będzie zawierał wszystkie strony oraz wszystkie wymagane i deklarowane załączniki, zarówno w formie pisemnej, jak i elektronicznej z tym, że w wersji elektronicznej składa się tylko te dokumenty, których wersja elektroniczna została wskazana jako wymagana w formularzu tego wniosku lub instrukcji jego wypełnienia. </w:t>
      </w:r>
    </w:p>
    <w:p>
      <w:pPr>
        <w:pStyle w:val="Akapitzlist1"/>
        <w:numPr>
          <w:ilvl w:val="0"/>
          <w:numId w:val="15"/>
        </w:numPr>
        <w:spacing w:lineRule="auto" w:line="276" w:before="60" w:after="60"/>
        <w:ind w:left="425" w:hanging="425"/>
        <w:contextualSpacing/>
        <w:jc w:val="both"/>
        <w:rPr>
          <w:rFonts w:ascii="Arial" w:hAnsi="Arial" w:cs="Arial"/>
          <w:iCs/>
          <w:sz w:val="24"/>
          <w:szCs w:val="24"/>
          <w:lang w:eastAsia="ar-SA"/>
        </w:rPr>
      </w:pPr>
      <w:r>
        <w:rPr>
          <w:rFonts w:eastAsia="Times New Roman" w:cs="Arial" w:ascii="Arial" w:hAnsi="Arial"/>
          <w:iCs/>
          <w:sz w:val="24"/>
          <w:szCs w:val="24"/>
          <w:lang w:eastAsia="ar-SA"/>
        </w:rPr>
        <w:t>Wniosek</w:t>
      </w:r>
      <w:r>
        <w:rPr>
          <w:rFonts w:eastAsia="Times New Roman" w:cs="Arial" w:ascii="Arial" w:hAnsi="Arial"/>
          <w:sz w:val="24"/>
          <w:szCs w:val="24"/>
          <w:lang w:eastAsia="ar-SA"/>
        </w:rPr>
        <w:t xml:space="preserve"> należy złożyć w terminie wskazanym w ogłoszeniu o konkursie. Złożenie wniosku po terminie skutkuje pozostawieniem wniosku bez rozpatrzenia. </w:t>
      </w:r>
    </w:p>
    <w:p>
      <w:pPr>
        <w:pStyle w:val="Akapitzlist1"/>
        <w:numPr>
          <w:ilvl w:val="0"/>
          <w:numId w:val="15"/>
        </w:numPr>
        <w:spacing w:lineRule="auto" w:line="276" w:before="60" w:after="60"/>
        <w:ind w:left="425" w:hanging="425"/>
        <w:contextualSpacing/>
        <w:jc w:val="both"/>
        <w:rPr>
          <w:rFonts w:ascii="Arial" w:hAnsi="Arial" w:cs="Arial"/>
          <w:iCs/>
          <w:sz w:val="24"/>
          <w:szCs w:val="24"/>
          <w:lang w:eastAsia="ar-SA"/>
        </w:rPr>
      </w:pPr>
      <w:r>
        <w:rPr>
          <w:rFonts w:cs="Arial" w:ascii="Arial" w:hAnsi="Arial"/>
          <w:iCs/>
          <w:sz w:val="24"/>
          <w:szCs w:val="24"/>
          <w:lang w:eastAsia="ar-SA"/>
        </w:rPr>
        <w:t>Wniosek wraz z załącznikami należy złożyć osobiście, za pośrednictwem innej osoby, w tym pełnomocnika, albo przesłać w</w:t>
      </w:r>
      <w:r>
        <w:rPr>
          <w:rFonts w:cs="Arial" w:ascii="Arial" w:hAnsi="Arial"/>
          <w:sz w:val="24"/>
          <w:szCs w:val="24"/>
          <w:lang w:eastAsia="ar-SA"/>
        </w:rPr>
        <w:t xml:space="preserve"> </w:t>
      </w:r>
      <w:r>
        <w:rPr>
          <w:rFonts w:cs="Arial" w:ascii="Arial" w:hAnsi="Arial"/>
          <w:iCs/>
          <w:sz w:val="24"/>
          <w:szCs w:val="24"/>
          <w:lang w:eastAsia="ar-SA"/>
        </w:rPr>
        <w:t xml:space="preserve">zamkniętej kopercie za pośrednictwem operatora pocztowego w rozumieniu przepisów ustawy </w:t>
      </w:r>
      <w:r>
        <w:rPr>
          <w:rFonts w:cs="Arial" w:ascii="Arial" w:hAnsi="Arial"/>
          <w:sz w:val="24"/>
          <w:szCs w:val="24"/>
        </w:rPr>
        <w:t>z dnia 23 listopada 2012 r. – Prawo pocztowe (Dz. U. z 2020 r. poz. 1041)</w:t>
      </w:r>
      <w:r>
        <w:rPr>
          <w:rFonts w:cs="Arial" w:ascii="Arial" w:hAnsi="Arial"/>
          <w:iCs/>
          <w:sz w:val="24"/>
          <w:szCs w:val="24"/>
          <w:lang w:eastAsia="ar-SA"/>
        </w:rPr>
        <w:t>.</w:t>
      </w:r>
    </w:p>
    <w:p>
      <w:pPr>
        <w:pStyle w:val="Akapitzlist1"/>
        <w:numPr>
          <w:ilvl w:val="0"/>
          <w:numId w:val="15"/>
        </w:numPr>
        <w:spacing w:lineRule="auto" w:line="276" w:before="60" w:after="60"/>
        <w:contextualSpacing/>
        <w:jc w:val="both"/>
        <w:rPr>
          <w:rFonts w:ascii="Arial" w:hAnsi="Arial" w:cs="Arial"/>
          <w:color w:val="000000"/>
          <w:sz w:val="24"/>
          <w:szCs w:val="24"/>
        </w:rPr>
      </w:pPr>
      <w:r>
        <w:rPr>
          <w:rFonts w:cs="Arial" w:ascii="Arial" w:hAnsi="Arial"/>
          <w:sz w:val="24"/>
          <w:szCs w:val="24"/>
        </w:rPr>
        <w:t xml:space="preserve">Wnioski należy składać na adres właściwej </w:t>
      </w:r>
      <w:r>
        <w:rPr>
          <w:rFonts w:cs="Arial" w:ascii="Arial" w:hAnsi="Arial"/>
          <w:iCs/>
          <w:sz w:val="24"/>
          <w:szCs w:val="24"/>
          <w:lang w:eastAsia="ar-SA"/>
        </w:rPr>
        <w:t>jednostki regionalnej</w:t>
      </w:r>
      <w:r>
        <w:rPr>
          <w:rFonts w:cs="Arial" w:ascii="Arial" w:hAnsi="Arial"/>
          <w:sz w:val="24"/>
          <w:szCs w:val="24"/>
        </w:rPr>
        <w:t xml:space="preserve"> wskazany w ogłoszeniu o konkursie.</w:t>
      </w:r>
    </w:p>
    <w:p>
      <w:pPr>
        <w:pStyle w:val="Akapitzlist1"/>
        <w:numPr>
          <w:ilvl w:val="0"/>
          <w:numId w:val="15"/>
        </w:numPr>
        <w:spacing w:lineRule="auto" w:line="276" w:before="60" w:after="60"/>
        <w:ind w:left="425" w:hanging="425"/>
        <w:contextualSpacing/>
        <w:jc w:val="both"/>
        <w:rPr>
          <w:rFonts w:ascii="Arial" w:hAnsi="Arial" w:cs="Arial"/>
          <w:color w:val="000000"/>
          <w:sz w:val="24"/>
          <w:szCs w:val="24"/>
        </w:rPr>
      </w:pPr>
      <w:r>
        <w:rPr>
          <w:rFonts w:cs="Arial" w:ascii="Arial" w:hAnsi="Arial"/>
          <w:color w:val="000000"/>
          <w:sz w:val="24"/>
          <w:szCs w:val="24"/>
        </w:rPr>
        <w:t>W przypadku złożenia wniosku o wybór operacji przesyłką rejestrowaną</w:t>
      </w:r>
      <w:r>
        <w:rPr>
          <w:rFonts w:eastAsia="Calibri" w:cs="Arial" w:ascii="Arial" w:hAnsi="Arial" w:eastAsiaTheme="minorHAnsi"/>
          <w:color w:val="auto"/>
          <w:kern w:val="0"/>
        </w:rPr>
        <w:t xml:space="preserve"> </w:t>
      </w:r>
      <w:r>
        <w:rPr>
          <w:rFonts w:cs="Arial" w:ascii="Arial" w:hAnsi="Arial"/>
          <w:color w:val="000000"/>
          <w:sz w:val="24"/>
          <w:szCs w:val="24"/>
        </w:rPr>
        <w:t xml:space="preserve">albo inną przesyłką pocztową w rozumieniu przepisów ustawy z dnia 23 listopada 2012 r. – Prawo pocztowe, której datę nadania można ustalić, </w:t>
      </w:r>
      <w:r>
        <w:rPr>
          <w:rFonts w:cs="Arial" w:ascii="Arial" w:hAnsi="Arial"/>
          <w:sz w:val="24"/>
          <w:szCs w:val="24"/>
        </w:rPr>
        <w:t xml:space="preserve">nadaną na terytorium Rzeczypospolitej Polskiej, </w:t>
      </w:r>
      <w:r>
        <w:rPr>
          <w:rFonts w:cs="Arial" w:ascii="Arial" w:hAnsi="Arial"/>
          <w:color w:val="000000"/>
          <w:sz w:val="24"/>
          <w:szCs w:val="24"/>
        </w:rPr>
        <w:t xml:space="preserve">za dzień złożenia wniosku uznaje się dzień, w którym nadano tę przesyłkę. </w:t>
      </w:r>
    </w:p>
    <w:p>
      <w:pPr>
        <w:pStyle w:val="Akapitzlist1"/>
        <w:numPr>
          <w:ilvl w:val="0"/>
          <w:numId w:val="15"/>
        </w:numPr>
        <w:spacing w:lineRule="auto" w:line="276" w:before="60" w:after="60"/>
        <w:ind w:left="425" w:hanging="425"/>
        <w:contextualSpacing/>
        <w:jc w:val="both"/>
        <w:rPr>
          <w:rFonts w:ascii="Arial" w:hAnsi="Arial" w:cs="Arial"/>
          <w:color w:val="000000"/>
          <w:sz w:val="24"/>
          <w:szCs w:val="24"/>
        </w:rPr>
      </w:pPr>
      <w:r>
        <w:rPr>
          <w:rFonts w:cs="Arial" w:ascii="Arial" w:hAnsi="Arial"/>
          <w:color w:val="000000"/>
          <w:sz w:val="24"/>
          <w:szCs w:val="24"/>
        </w:rPr>
        <w:t xml:space="preserve">Jeżeli </w:t>
      </w:r>
      <w:r>
        <w:rPr>
          <w:rFonts w:cs="Arial" w:ascii="Arial" w:hAnsi="Arial"/>
          <w:iCs/>
          <w:color w:val="000000"/>
          <w:sz w:val="24"/>
          <w:szCs w:val="24"/>
          <w:lang w:eastAsia="ar-SA"/>
        </w:rPr>
        <w:t>jednostka regionalna</w:t>
      </w:r>
      <w:r>
        <w:rPr>
          <w:rFonts w:cs="Arial" w:ascii="Arial" w:hAnsi="Arial"/>
          <w:color w:val="000000"/>
          <w:sz w:val="24"/>
          <w:szCs w:val="24"/>
        </w:rPr>
        <w:t xml:space="preserve">, do której złożono wniosek, jest niewłaściwa, niezwłocznie przekazuje </w:t>
      </w:r>
      <w:r>
        <w:rPr>
          <w:rFonts w:cs="Arial" w:ascii="Arial" w:hAnsi="Arial"/>
          <w:sz w:val="24"/>
          <w:szCs w:val="24"/>
          <w:lang w:eastAsia="ar-SA"/>
        </w:rPr>
        <w:t>wniosek do właściwej jednostki regionalnej, zawiadamiając jednocześnie o tym wnioskodawcę.</w:t>
      </w:r>
      <w:r>
        <w:rPr>
          <w:rFonts w:cs="Arial" w:ascii="Arial" w:hAnsi="Arial"/>
          <w:color w:val="000000"/>
          <w:sz w:val="24"/>
          <w:szCs w:val="24"/>
        </w:rPr>
        <w:t xml:space="preserve"> Zawiadomienie o przekazaniu powinno zawierać uzasadnienie. Wniosek złożony do niewłaściwej jednostki regionalnej przed upływem terminu składania wniosków uważa się za złożony z zachowaniem tego terminu.</w:t>
      </w:r>
    </w:p>
    <w:p>
      <w:pPr>
        <w:pStyle w:val="Akapitzlist1"/>
        <w:numPr>
          <w:ilvl w:val="0"/>
          <w:numId w:val="15"/>
        </w:numPr>
        <w:spacing w:lineRule="auto" w:line="276"/>
        <w:jc w:val="both"/>
        <w:rPr/>
      </w:pPr>
      <w:r>
        <w:rPr>
          <w:rFonts w:cs="Arial" w:ascii="Arial" w:hAnsi="Arial"/>
          <w:color w:val="000000"/>
          <w:sz w:val="24"/>
          <w:szCs w:val="24"/>
        </w:rPr>
        <w:t xml:space="preserve">W przypadku braków we wniosku uniemożliwiających stwierdzenie, która jednostka regionalna jest właściwa do jego oceny, wzywa się partnera KSOW do uzupełnienia tych braków w terminie 7 dni od dnia doręczenia wezwania pod rygorem pozostawienia wniosku bez rozpatrzenia zgodnie z § 7, z zastrzeżeniem ust. 10. Wezwanie doręcza się na piśmie lub w formie dokumentu elektronicznego za pomocą środków komunikacji elektronicznej zgodnie z </w:t>
      </w:r>
      <w:r>
        <w:rPr>
          <w:rFonts w:cs="Arial" w:ascii="Arial" w:hAnsi="Arial"/>
          <w:color w:val="000000"/>
          <w:sz w:val="24"/>
          <w:szCs w:val="24"/>
          <w:lang w:eastAsia="ar-SA"/>
        </w:rPr>
        <w:t>przepisami Kodeksu postępowania administracyjnego dotyczącymi doręczeń.</w:t>
      </w:r>
    </w:p>
    <w:p>
      <w:pPr>
        <w:pStyle w:val="Akapitzlist1"/>
        <w:numPr>
          <w:ilvl w:val="0"/>
          <w:numId w:val="15"/>
        </w:numPr>
        <w:spacing w:lineRule="auto" w:line="276" w:before="60" w:after="60"/>
        <w:ind w:left="426" w:hanging="426"/>
        <w:contextualSpacing/>
        <w:jc w:val="both"/>
        <w:rPr>
          <w:rFonts w:ascii="Arial" w:hAnsi="Arial" w:cs="Arial"/>
          <w:color w:val="000000"/>
          <w:sz w:val="24"/>
          <w:szCs w:val="24"/>
        </w:rPr>
      </w:pPr>
      <w:r>
        <w:rPr>
          <w:rFonts w:cs="Arial" w:ascii="Arial" w:hAnsi="Arial"/>
          <w:color w:val="000000"/>
          <w:sz w:val="24"/>
          <w:szCs w:val="24"/>
        </w:rPr>
        <w:t xml:space="preserve">W przypadku uchybienia terminu, o którym mowa w ust. 9, z przyczyn związanych z ogłoszeniem na obszarze Rzeczypospolitej Polskiej stanu zagrożenia epidemicznego lub stanu epidemii na podstawie ustawy z dnia 5 grudnia 2008 r. o zapobieganiu oraz zwalczaniu zakażeń i chorób zakaźnych u ludzi (Dz. U. z 2019 r. poz. 1239, z późn. zm.) w związku z zakażeniami wirusem SARS-CoV-2 lub wprowadzeniem stanu nadzwyczajnego w związku z zakażeniami tym wirusem, należy przywrócić ten termin, jeżeli czynność, dla której określony był termin została dopełniona nie później niż w terminie 60 dni po ustaniu tych przyczyn. Przywrócenie terminu nie ma wpływu na przebieg konkursu w stosunku do innych operacji, w szczególności na ich ocenę i wybór, zawarcie umów na ich realizację oraz wypłatę środków z tytułu wykonania tych umów. Operacja, dla której przywrócono termin, może zostać wybrana, jeżeli na jej realizację będą dostępne wystarczające środki lub partner KSOW zgodzi się zrealizować operację za niższą niż wnioskowana kwotę kosztów kwalifikowalnych, osiągając przy tym cel operacji. </w:t>
      </w:r>
    </w:p>
    <w:p>
      <w:pPr>
        <w:pStyle w:val="Akapitzlist1"/>
        <w:numPr>
          <w:ilvl w:val="0"/>
          <w:numId w:val="15"/>
        </w:numPr>
        <w:spacing w:lineRule="auto" w:line="276" w:before="60" w:after="60"/>
        <w:ind w:left="426" w:hanging="426"/>
        <w:contextualSpacing/>
        <w:jc w:val="both"/>
        <w:rPr>
          <w:rFonts w:ascii="Arial" w:hAnsi="Arial" w:cs="Arial"/>
          <w:b/>
          <w:b/>
          <w:caps/>
          <w:sz w:val="24"/>
          <w:szCs w:val="24"/>
          <w:lang w:eastAsia="ar-SA"/>
        </w:rPr>
      </w:pPr>
      <w:r>
        <w:rPr>
          <w:rFonts w:cs="Arial" w:ascii="Arial" w:hAnsi="Arial"/>
          <w:color w:val="000000"/>
          <w:sz w:val="24"/>
          <w:szCs w:val="24"/>
        </w:rPr>
        <w:t xml:space="preserve">Jeżeli wniosek o wybór operacji nie został złożony przez partnera KSOW w terminie lub nie zawiera adresu partnera KSOW i nie można ustalić tego adresu  na podstawie posiadanych danych, właściwa jednostka regionalna pozostawia go bez rozpatrzenia. </w:t>
      </w:r>
    </w:p>
    <w:p>
      <w:pPr>
        <w:pStyle w:val="Normal"/>
        <w:spacing w:lineRule="auto" w:line="276" w:before="60" w:after="60"/>
        <w:ind w:left="360" w:hanging="357"/>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ind w:left="360" w:hanging="357"/>
        <w:jc w:val="center"/>
        <w:rPr>
          <w:rFonts w:ascii="Arial" w:hAnsi="Arial" w:cs="Arial"/>
          <w:b/>
          <w:b/>
          <w:sz w:val="24"/>
          <w:szCs w:val="24"/>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7.</w:t>
      </w:r>
    </w:p>
    <w:p>
      <w:pPr>
        <w:pStyle w:val="Normal"/>
        <w:spacing w:lineRule="auto" w:line="276" w:before="60" w:after="60"/>
        <w:jc w:val="center"/>
        <w:rPr>
          <w:rFonts w:ascii="Arial" w:hAnsi="Arial" w:cs="Arial"/>
          <w:b/>
          <w:b/>
          <w:sz w:val="24"/>
          <w:szCs w:val="24"/>
        </w:rPr>
      </w:pPr>
      <w:r>
        <w:rPr>
          <w:rFonts w:cs="Arial" w:ascii="Arial" w:hAnsi="Arial"/>
          <w:b/>
          <w:sz w:val="24"/>
          <w:szCs w:val="24"/>
        </w:rPr>
        <w:t>Sposób uzupełniania we wniosku braków formalnych oraz poprawiania</w:t>
      </w:r>
    </w:p>
    <w:p>
      <w:pPr>
        <w:pStyle w:val="Normal"/>
        <w:spacing w:lineRule="auto" w:line="276" w:before="60" w:after="60"/>
        <w:jc w:val="center"/>
        <w:rPr>
          <w:rFonts w:ascii="Arial" w:hAnsi="Arial" w:cs="Arial"/>
          <w:sz w:val="24"/>
          <w:szCs w:val="24"/>
        </w:rPr>
      </w:pPr>
      <w:r>
        <w:rPr>
          <w:rFonts w:cs="Arial" w:ascii="Arial" w:hAnsi="Arial"/>
          <w:b/>
          <w:sz w:val="24"/>
          <w:szCs w:val="24"/>
        </w:rPr>
        <w:t>w nim oczywistych omyłek</w:t>
      </w:r>
    </w:p>
    <w:p>
      <w:pPr>
        <w:pStyle w:val="Akapitzlist1"/>
        <w:numPr>
          <w:ilvl w:val="0"/>
          <w:numId w:val="4"/>
        </w:numPr>
        <w:spacing w:lineRule="auto" w:line="276" w:before="60" w:after="60"/>
        <w:ind w:left="426" w:hanging="426"/>
        <w:contextualSpacing/>
        <w:jc w:val="both"/>
        <w:rPr>
          <w:rFonts w:ascii="Arial" w:hAnsi="Arial" w:cs="Arial"/>
          <w:sz w:val="24"/>
          <w:szCs w:val="24"/>
        </w:rPr>
      </w:pPr>
      <w:r>
        <w:rPr>
          <w:rFonts w:cs="Arial" w:ascii="Arial" w:hAnsi="Arial"/>
          <w:sz w:val="24"/>
          <w:szCs w:val="24"/>
        </w:rPr>
        <w:t>W przypadku stwierdzenia we wniosku następujących braków:</w:t>
      </w:r>
    </w:p>
    <w:p>
      <w:pPr>
        <w:pStyle w:val="Akapitzlist1"/>
        <w:numPr>
          <w:ilvl w:val="1"/>
          <w:numId w:val="13"/>
        </w:numPr>
        <w:spacing w:lineRule="auto" w:line="276" w:before="60" w:after="60"/>
        <w:ind w:left="624" w:hanging="153"/>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termin realizacji operacji jest niezgodny z terminem realizacji operacji określonym w ogłoszeniu o konkursie,</w:t>
      </w:r>
    </w:p>
    <w:p>
      <w:pPr>
        <w:pStyle w:val="Akapitzlist1"/>
        <w:numPr>
          <w:ilvl w:val="1"/>
          <w:numId w:val="13"/>
        </w:numPr>
        <w:spacing w:lineRule="auto" w:line="276" w:before="60" w:after="60"/>
        <w:ind w:left="624" w:hanging="153"/>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wniosek o wybór operacji nie został złożony na właściwym formularzu z zachowaniem sposobu wskazanego w ogłoszeniu o konkursie,</w:t>
      </w:r>
    </w:p>
    <w:p>
      <w:pPr>
        <w:pStyle w:val="Akapitzlist1"/>
        <w:numPr>
          <w:ilvl w:val="1"/>
          <w:numId w:val="13"/>
        </w:numPr>
        <w:spacing w:lineRule="auto" w:line="276" w:before="60" w:after="60"/>
        <w:ind w:left="624" w:hanging="153"/>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wniosek o wybór operacji nie został podpisany przez partnera KSOW,</w:t>
      </w:r>
    </w:p>
    <w:p>
      <w:pPr>
        <w:pStyle w:val="Akapitzlist1"/>
        <w:numPr>
          <w:ilvl w:val="1"/>
          <w:numId w:val="13"/>
        </w:numPr>
        <w:spacing w:lineRule="auto" w:line="276" w:before="60" w:after="60"/>
        <w:ind w:left="624" w:hanging="153"/>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wniosek o wybór operacji nie został wypełniony zgodnie z instrukcją wypełnienia wniosku,</w:t>
      </w:r>
    </w:p>
    <w:p>
      <w:pPr>
        <w:pStyle w:val="Akapitzlist1"/>
        <w:numPr>
          <w:ilvl w:val="1"/>
          <w:numId w:val="13"/>
        </w:numPr>
        <w:spacing w:lineRule="auto" w:line="276" w:before="60" w:after="60"/>
        <w:ind w:left="624" w:hanging="153"/>
        <w:contextualSpacing/>
        <w:jc w:val="both"/>
        <w:rPr>
          <w:rFonts w:ascii="Arial" w:hAnsi="Arial" w:cs="Arial"/>
          <w:szCs w:val="24"/>
        </w:rPr>
      </w:pPr>
      <w:r>
        <w:rPr>
          <w:rFonts w:cs="Arial" w:ascii="Arial" w:hAnsi="Arial"/>
          <w:sz w:val="24"/>
          <w:szCs w:val="24"/>
        </w:rPr>
        <w:t xml:space="preserve"> </w:t>
      </w:r>
      <w:r>
        <w:rPr>
          <w:rFonts w:cs="Arial" w:ascii="Arial" w:hAnsi="Arial"/>
          <w:sz w:val="24"/>
          <w:szCs w:val="24"/>
        </w:rPr>
        <w:t>wniosek o wybór operacji nie zawiera dokumentów niezbędnych do dokonania wyboru operacji, w tym:</w:t>
      </w:r>
    </w:p>
    <w:p>
      <w:pPr>
        <w:pStyle w:val="PKTpunkt"/>
        <w:numPr>
          <w:ilvl w:val="0"/>
          <w:numId w:val="25"/>
        </w:numPr>
        <w:spacing w:lineRule="auto" w:line="276" w:before="60" w:after="60"/>
        <w:jc w:val="both"/>
        <w:rPr>
          <w:rFonts w:ascii="Arial" w:hAnsi="Arial" w:eastAsia="Calibri"/>
          <w:bCs w:val="false"/>
          <w:szCs w:val="24"/>
          <w:lang w:eastAsia="en-US"/>
        </w:rPr>
      </w:pPr>
      <w:r>
        <w:rPr>
          <w:rFonts w:eastAsia="Calibri" w:ascii="Arial" w:hAnsi="Arial"/>
          <w:bCs w:val="false"/>
          <w:szCs w:val="24"/>
          <w:lang w:eastAsia="en-US"/>
        </w:rPr>
        <w:t>dokumentów potwierdzających spełnienie warunków i kryteriów wyboru operacji, których wykaz zawiera formularz tego wniosku,</w:t>
      </w:r>
    </w:p>
    <w:p>
      <w:pPr>
        <w:pStyle w:val="PKTpunkt"/>
        <w:numPr>
          <w:ilvl w:val="0"/>
          <w:numId w:val="25"/>
        </w:numPr>
        <w:spacing w:lineRule="auto" w:line="276" w:before="60" w:after="120"/>
        <w:ind w:left="1066" w:hanging="357"/>
        <w:contextualSpacing/>
        <w:jc w:val="both"/>
        <w:rPr>
          <w:rFonts w:ascii="Arial" w:hAnsi="Arial"/>
          <w:szCs w:val="24"/>
        </w:rPr>
      </w:pPr>
      <w:r>
        <w:rPr>
          <w:rFonts w:eastAsia="Calibri" w:ascii="Arial" w:hAnsi="Arial"/>
          <w:bCs w:val="false"/>
          <w:szCs w:val="24"/>
          <w:lang w:eastAsia="en-US"/>
        </w:rPr>
        <w:t>formularza tego wniosku w wersji elektronicznej, zapisanego na informatycznym nośniku danych w formacie umożliwiającym edycję tekstu, wypełnionego danymi, które są zawarte w składanym wniosku w wersji papierowej,</w:t>
      </w:r>
    </w:p>
    <w:p>
      <w:pPr>
        <w:pStyle w:val="Akapitzlist1"/>
        <w:numPr>
          <w:ilvl w:val="1"/>
          <w:numId w:val="13"/>
        </w:numPr>
        <w:spacing w:lineRule="auto" w:line="276" w:before="0" w:after="144"/>
        <w:ind w:left="624" w:hanging="153"/>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wniosek o wybór operacji nie zawiera prawidłowego pod względem rachunkowym budżetu operacji</w:t>
      </w:r>
    </w:p>
    <w:p>
      <w:pPr>
        <w:pStyle w:val="Akapitzlist1"/>
        <w:spacing w:lineRule="auto" w:line="276" w:before="0" w:after="144"/>
        <w:ind w:left="502" w:hanging="0"/>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właściwa jednostka regionalna wzywa partnera KSOW do uzupełnienia braków w terminie 7 dni od dnia doręczenia wezwania pod rygorem pozostawienia wniosku bez rozpatrzenia. Postanowienia </w:t>
      </w:r>
      <w:r>
        <w:rPr>
          <w:rFonts w:cs="Arial" w:ascii="Arial" w:hAnsi="Arial"/>
          <w:color w:val="000000"/>
          <w:sz w:val="24"/>
          <w:szCs w:val="24"/>
        </w:rPr>
        <w:t>§ 6 ust. 9 zdanie drugie oraz ust. 10 stosuje się odpowiednio.</w:t>
      </w:r>
    </w:p>
    <w:p>
      <w:pPr>
        <w:pStyle w:val="Akapitzlist1"/>
        <w:numPr>
          <w:ilvl w:val="0"/>
          <w:numId w:val="28"/>
        </w:numPr>
        <w:spacing w:lineRule="auto" w:line="276" w:before="60" w:after="60"/>
        <w:ind w:left="426" w:hanging="426"/>
        <w:contextualSpacing/>
        <w:jc w:val="both"/>
        <w:rPr>
          <w:rFonts w:ascii="Arial" w:hAnsi="Arial" w:cs="Arial"/>
          <w:sz w:val="24"/>
          <w:szCs w:val="24"/>
        </w:rPr>
      </w:pPr>
      <w:r>
        <w:rPr>
          <w:rFonts w:cs="Arial" w:ascii="Arial" w:hAnsi="Arial"/>
          <w:sz w:val="24"/>
          <w:szCs w:val="24"/>
        </w:rPr>
        <w:t>Nie wzywa się do uzupełnienia braków we wniosku, jeżeli z jego treści wynika, że nie spełnia on co najmniej jednego warunku wyboru operacji określonego w części II Przewodnika po ocenie wniosku lub, w przypadku kryteriów wyboru operacji – co najmniej jednego tych kryteriów określonego w części III pkt 1–4 tego Przewodnika,</w:t>
      </w:r>
      <w:r>
        <w:rPr>
          <w:rFonts w:cs="Arial" w:ascii="Arial" w:hAnsi="Arial"/>
          <w:sz w:val="24"/>
          <w:szCs w:val="24"/>
          <w:lang w:eastAsia="ar-SA"/>
        </w:rPr>
        <w:t xml:space="preserve"> </w:t>
      </w:r>
      <w:r>
        <w:rPr>
          <w:rFonts w:cs="Arial" w:ascii="Arial" w:hAnsi="Arial"/>
          <w:sz w:val="24"/>
          <w:szCs w:val="24"/>
        </w:rPr>
        <w:t>chyba że niespełnienie warunku lub kryterium jest spowodowane brakiem, który według jednostki regionalnej dokonującej oceny wniosku może być uzupełniony w drodze wezwania. W przypadku niespełnienia warunku wyboru operacji – stosuje się postanowienie § 9 ust. 7, a w przypadku niespełnienia jednego z tych kryteriów – postanowienie § 9 ust. 8. Postanowień tych nie stosuje się w przypadku gdy operacja mieści się w całym limicie określonym dla danego jednostki regionalnej na wszystkie działania.</w:t>
      </w:r>
    </w:p>
    <w:p>
      <w:pPr>
        <w:pStyle w:val="Akapitzlist1"/>
        <w:numPr>
          <w:ilvl w:val="0"/>
          <w:numId w:val="28"/>
        </w:numPr>
        <w:spacing w:lineRule="auto" w:line="276" w:before="60" w:after="60"/>
        <w:ind w:left="426" w:hanging="426"/>
        <w:contextualSpacing/>
        <w:jc w:val="both"/>
        <w:rPr>
          <w:rFonts w:ascii="Arial" w:hAnsi="Arial" w:cs="Arial"/>
          <w:sz w:val="24"/>
          <w:szCs w:val="24"/>
        </w:rPr>
      </w:pPr>
      <w:r>
        <w:rPr>
          <w:rFonts w:cs="Arial" w:ascii="Arial" w:hAnsi="Arial"/>
          <w:sz w:val="24"/>
          <w:szCs w:val="24"/>
        </w:rPr>
        <w:t>Jeżeli wniosek o wybór operacji zawiera błędy pisarskie lub inne oczywiste omyłki, właściwa jednostka regionalna:</w:t>
      </w:r>
    </w:p>
    <w:p>
      <w:pPr>
        <w:pStyle w:val="Normal"/>
        <w:numPr>
          <w:ilvl w:val="0"/>
          <w:numId w:val="5"/>
        </w:numPr>
        <w:spacing w:lineRule="auto" w:line="276" w:before="60" w:after="60"/>
        <w:ind w:left="862" w:hanging="357"/>
        <w:jc w:val="both"/>
        <w:rPr>
          <w:rFonts w:ascii="Arial" w:hAnsi="Arial" w:cs="Arial"/>
          <w:sz w:val="24"/>
          <w:szCs w:val="24"/>
        </w:rPr>
      </w:pPr>
      <w:r>
        <w:rPr>
          <w:rFonts w:cs="Arial" w:ascii="Arial" w:hAnsi="Arial"/>
          <w:sz w:val="24"/>
          <w:szCs w:val="24"/>
        </w:rPr>
        <w:t>poprawia te błędy i omyłki, o czym niezwłocznie zawiadamia partnera KSOW;</w:t>
      </w:r>
    </w:p>
    <w:p>
      <w:pPr>
        <w:pStyle w:val="Normal"/>
        <w:numPr>
          <w:ilvl w:val="0"/>
          <w:numId w:val="5"/>
        </w:numPr>
        <w:spacing w:lineRule="auto" w:line="276" w:before="60" w:after="60"/>
        <w:ind w:left="862" w:hanging="357"/>
        <w:jc w:val="both"/>
        <w:rPr>
          <w:rFonts w:ascii="Arial" w:hAnsi="Arial" w:cs="Arial"/>
          <w:sz w:val="24"/>
          <w:szCs w:val="24"/>
        </w:rPr>
      </w:pPr>
      <w:r>
        <w:rPr>
          <w:rFonts w:cs="Arial" w:ascii="Arial" w:hAnsi="Arial"/>
          <w:sz w:val="24"/>
          <w:szCs w:val="24"/>
        </w:rPr>
        <w:t>może poprawić te błędy i omyłki, jeżeli partner KSOW o to wystąpił.</w:t>
      </w:r>
    </w:p>
    <w:p>
      <w:pPr>
        <w:pStyle w:val="Akapitzlist1"/>
        <w:numPr>
          <w:ilvl w:val="0"/>
          <w:numId w:val="28"/>
        </w:numPr>
        <w:spacing w:lineRule="auto" w:line="276" w:before="60" w:after="60"/>
        <w:ind w:left="426" w:hanging="426"/>
        <w:contextualSpacing/>
        <w:jc w:val="both"/>
        <w:rPr>
          <w:rFonts w:ascii="Arial" w:hAnsi="Arial" w:cs="Arial"/>
          <w:sz w:val="24"/>
          <w:szCs w:val="24"/>
        </w:rPr>
      </w:pPr>
      <w:r>
        <w:rPr>
          <w:rFonts w:cs="Arial" w:ascii="Arial" w:hAnsi="Arial"/>
          <w:sz w:val="24"/>
          <w:szCs w:val="24"/>
        </w:rPr>
        <w:t xml:space="preserve">Partner KSOW, na wezwanie właściwej jednostki regionalnej, przesyła uzupełniony/poprawiony wniosek lub załącznik do wniosku, w wersji papierowej lub elektronicznej, w zależności od tego, jakiej wersji danego dokumentu zabrakło. </w:t>
      </w:r>
      <w:r>
        <w:rPr>
          <w:rFonts w:cs="Arial" w:ascii="Arial" w:hAnsi="Arial"/>
        </w:rPr>
        <w:t xml:space="preserve"> </w:t>
      </w:r>
      <w:r>
        <w:rPr>
          <w:rFonts w:cs="Arial" w:ascii="Arial" w:hAnsi="Arial"/>
          <w:sz w:val="24"/>
          <w:szCs w:val="24"/>
        </w:rPr>
        <w:t xml:space="preserve">Uzupełniony/poprawiony wniosek lub załącznik do wniosku składa się na tym samym wzorze formularza, na którym powinien zostać złożony przy pierwszym złożeniu. W ramach korekty składa się wyłącznie te dokumenty i w takiej wersji – papierowej lub elektronicznej, o których jest mowa w wezwaniu. </w:t>
      </w:r>
    </w:p>
    <w:p>
      <w:pPr>
        <w:pStyle w:val="Akapitzlist1"/>
        <w:numPr>
          <w:ilvl w:val="0"/>
          <w:numId w:val="28"/>
        </w:numPr>
        <w:spacing w:lineRule="auto" w:line="276" w:before="60" w:after="60"/>
        <w:ind w:left="426" w:hanging="426"/>
        <w:contextualSpacing/>
        <w:jc w:val="both"/>
        <w:rPr>
          <w:rFonts w:ascii="Arial" w:hAnsi="Arial" w:cs="Arial"/>
          <w:sz w:val="24"/>
          <w:szCs w:val="24"/>
        </w:rPr>
      </w:pPr>
      <w:r>
        <w:rPr>
          <w:rFonts w:cs="Arial" w:ascii="Arial" w:hAnsi="Arial"/>
          <w:sz w:val="24"/>
          <w:szCs w:val="24"/>
        </w:rPr>
        <w:t>Dla rozstrzygnięcia, czy w terminie dokonano wskazanego w wezwaniu uzupełnienia lub poprawienia wniosku, decydująca jest:</w:t>
      </w:r>
    </w:p>
    <w:p>
      <w:pPr>
        <w:pStyle w:val="Akapitzlist1"/>
        <w:numPr>
          <w:ilvl w:val="0"/>
          <w:numId w:val="11"/>
        </w:numPr>
        <w:spacing w:lineRule="auto" w:line="276" w:before="60" w:after="60"/>
        <w:ind w:left="714" w:hanging="288"/>
        <w:contextualSpacing/>
        <w:jc w:val="both"/>
        <w:rPr>
          <w:rFonts w:ascii="Arial" w:hAnsi="Arial" w:cs="Arial"/>
          <w:sz w:val="24"/>
          <w:szCs w:val="24"/>
        </w:rPr>
      </w:pPr>
      <w:r>
        <w:rPr>
          <w:rFonts w:cs="Arial" w:ascii="Arial" w:hAnsi="Arial"/>
          <w:sz w:val="24"/>
          <w:szCs w:val="24"/>
        </w:rPr>
        <w:t xml:space="preserve">data złożenia uzupełnionego lub poprawionego wniosku osobiście, za pośrednictwem innej osoby, w tym pełnomocnika; postanowienie </w:t>
      </w:r>
      <w:r>
        <w:rPr>
          <w:rFonts w:cs="Arial" w:ascii="Arial" w:hAnsi="Arial"/>
          <w:color w:val="000000"/>
          <w:sz w:val="24"/>
          <w:szCs w:val="24"/>
        </w:rPr>
        <w:t>§ 6 ust. 10 stosuje się;</w:t>
      </w:r>
    </w:p>
    <w:p>
      <w:pPr>
        <w:pStyle w:val="Akapitzlist1"/>
        <w:numPr>
          <w:ilvl w:val="0"/>
          <w:numId w:val="11"/>
        </w:numPr>
        <w:spacing w:lineRule="auto" w:line="276" w:before="60" w:after="60"/>
        <w:ind w:left="714" w:hanging="288"/>
        <w:contextualSpacing/>
        <w:jc w:val="both"/>
        <w:rPr>
          <w:rFonts w:ascii="Arial" w:hAnsi="Arial" w:cs="Arial"/>
          <w:sz w:val="24"/>
          <w:szCs w:val="24"/>
          <w:lang w:eastAsia="ar-SA"/>
        </w:rPr>
      </w:pPr>
      <w:r>
        <w:rPr>
          <w:rFonts w:cs="Arial" w:ascii="Arial" w:hAnsi="Arial"/>
          <w:sz w:val="24"/>
          <w:szCs w:val="24"/>
        </w:rPr>
        <w:t xml:space="preserve">data nadania uzupełnionego lub poprawionego wniosku na terytorium Rzeczypospolitej Polskiej przesyłką rejestrowaną albo inną przesyłką pocztową, </w:t>
      </w:r>
      <w:r>
        <w:rPr>
          <w:rFonts w:cs="Arial" w:ascii="Arial" w:hAnsi="Arial"/>
          <w:bCs/>
          <w:sz w:val="24"/>
          <w:szCs w:val="24"/>
        </w:rPr>
        <w:t>w rozumieniu ustawy z dnia 23 listopada 2012 r. – Prawo pocztowe,</w:t>
      </w:r>
      <w:r>
        <w:rPr>
          <w:rFonts w:cs="Arial" w:ascii="Arial" w:hAnsi="Arial"/>
          <w:sz w:val="24"/>
          <w:szCs w:val="24"/>
        </w:rPr>
        <w:t xml:space="preserve"> której datę nadania można ustalić; postanowienie </w:t>
      </w:r>
      <w:r>
        <w:rPr>
          <w:rFonts w:cs="Arial" w:ascii="Arial" w:hAnsi="Arial"/>
          <w:color w:val="000000"/>
          <w:sz w:val="24"/>
          <w:szCs w:val="24"/>
        </w:rPr>
        <w:t>§ 6 ust. 10 stosuje się;</w:t>
      </w:r>
    </w:p>
    <w:p>
      <w:pPr>
        <w:pStyle w:val="Akapitzlist1"/>
        <w:numPr>
          <w:ilvl w:val="0"/>
          <w:numId w:val="11"/>
        </w:numPr>
        <w:spacing w:lineRule="auto" w:line="276" w:before="60" w:after="60"/>
        <w:ind w:left="714" w:hanging="288"/>
        <w:contextualSpacing/>
        <w:jc w:val="both"/>
        <w:rPr>
          <w:rFonts w:ascii="Arial" w:hAnsi="Arial" w:cs="Arial"/>
          <w:sz w:val="24"/>
          <w:szCs w:val="24"/>
          <w:lang w:eastAsia="ar-SA"/>
        </w:rPr>
      </w:pPr>
      <w:r>
        <w:rPr>
          <w:rFonts w:cs="Arial" w:ascii="Arial" w:hAnsi="Arial"/>
          <w:bCs/>
          <w:sz w:val="24"/>
          <w:szCs w:val="24"/>
        </w:rPr>
        <w:t xml:space="preserve">data wysłania drogą elektroniczną brakującej lub poprawionej wersji elektronicznej; postanowienie </w:t>
      </w:r>
      <w:r>
        <w:rPr>
          <w:rFonts w:cs="Arial" w:ascii="Arial" w:hAnsi="Arial"/>
          <w:bCs/>
          <w:color w:val="000000"/>
          <w:sz w:val="24"/>
          <w:szCs w:val="24"/>
        </w:rPr>
        <w:t>§ 6 ust. 10 stosuje się.</w:t>
      </w:r>
    </w:p>
    <w:p>
      <w:pPr>
        <w:pStyle w:val="Akapitzlist1"/>
        <w:numPr>
          <w:ilvl w:val="0"/>
          <w:numId w:val="29"/>
        </w:numPr>
        <w:tabs>
          <w:tab w:val="clear" w:pos="720"/>
          <w:tab w:val="left" w:pos="567" w:leader="none"/>
          <w:tab w:val="left" w:pos="709" w:leader="none"/>
        </w:tabs>
        <w:spacing w:lineRule="auto" w:line="276" w:before="60" w:after="60"/>
        <w:ind w:left="426" w:hanging="426"/>
        <w:contextualSpacing/>
        <w:jc w:val="both"/>
        <w:rPr>
          <w:rFonts w:ascii="Arial" w:hAnsi="Arial" w:cs="Arial"/>
          <w:sz w:val="24"/>
          <w:szCs w:val="24"/>
        </w:rPr>
      </w:pPr>
      <w:r>
        <w:rPr>
          <w:rFonts w:cs="Arial" w:ascii="Arial" w:hAnsi="Arial"/>
          <w:sz w:val="24"/>
          <w:szCs w:val="24"/>
          <w:lang w:eastAsia="ar-SA"/>
        </w:rPr>
        <w:t>Dopuszcza się nie więcej niż dwa wezwania do uzupełnienia braków, przy czym drugie wezwanie może dotyczyć wyłącznie uzupełnienia braków innych niż wskazane w pierwszym wezwaniu. W przypadku gdy partner KSOW nie uzupełnił wszystkich braków wskazanych w wezwaniu, wniosek pozostawia się bez rozpatrzenia. W przypadku gdy partner KSOW uzupełnił braki w sposób budzący wątpliwości, jednostka regionalna może wezwać partnera KSOW lub dodatkowego partnera KSOW odpowiednio do złożenia wyjaśnień lub zeznań osobiście, przez pełnomocnika, na piśmie lub w formie dokumentu elektronicznego, jeżeli jest to niezbędne dla rozstrzygnięcia sprawy, stosując przepisy Kodeksu postępowania administracyjnego dotyczące wezwań.</w:t>
      </w:r>
      <w:r>
        <w:rPr>
          <w:rFonts w:cs="Arial" w:ascii="Arial" w:hAnsi="Arial"/>
          <w:color w:val="000000"/>
          <w:sz w:val="24"/>
          <w:szCs w:val="24"/>
        </w:rPr>
        <w:t xml:space="preserve"> </w:t>
      </w:r>
    </w:p>
    <w:p>
      <w:pPr>
        <w:pStyle w:val="Akapitzlist1"/>
        <w:numPr>
          <w:ilvl w:val="0"/>
          <w:numId w:val="29"/>
        </w:numPr>
        <w:spacing w:lineRule="auto" w:line="276" w:before="60" w:after="60"/>
        <w:ind w:left="426" w:hanging="426"/>
        <w:contextualSpacing/>
        <w:jc w:val="both"/>
        <w:rPr>
          <w:rFonts w:ascii="Arial" w:hAnsi="Arial" w:cs="Arial"/>
          <w:b/>
          <w:b/>
          <w:caps/>
          <w:sz w:val="24"/>
          <w:szCs w:val="24"/>
          <w:lang w:eastAsia="ar-SA"/>
        </w:rPr>
      </w:pPr>
      <w:r>
        <w:rPr>
          <w:rFonts w:cs="Arial" w:ascii="Arial" w:hAnsi="Arial"/>
          <w:sz w:val="24"/>
          <w:szCs w:val="24"/>
        </w:rPr>
        <w:t>W przypadku gdy partner KSOW lub dodatkowy partner KSOW</w:t>
      </w:r>
      <w:r>
        <w:rPr>
          <w:rFonts w:cs="Arial" w:ascii="Arial" w:hAnsi="Arial"/>
          <w:sz w:val="24"/>
          <w:szCs w:val="24"/>
          <w:lang w:eastAsia="ar-SA"/>
        </w:rPr>
        <w:t xml:space="preserve"> </w:t>
      </w:r>
      <w:r>
        <w:rPr>
          <w:rFonts w:cs="Arial" w:ascii="Arial" w:hAnsi="Arial"/>
          <w:sz w:val="24"/>
          <w:szCs w:val="24"/>
        </w:rPr>
        <w:t>złożyli wystarczające, odpowiednio, wyjaśnienia lub zeznania, o których mowa w ust. 6, jednostka regionalna może wysłać drugie wezwanie do</w:t>
      </w:r>
      <w:r>
        <w:rPr>
          <w:rFonts w:cs="Arial" w:ascii="Arial" w:hAnsi="Arial"/>
          <w:sz w:val="24"/>
          <w:szCs w:val="24"/>
          <w:lang w:eastAsia="ar-SA"/>
        </w:rPr>
        <w:t xml:space="preserve"> </w:t>
      </w:r>
      <w:r>
        <w:rPr>
          <w:rFonts w:cs="Arial" w:ascii="Arial" w:hAnsi="Arial"/>
          <w:sz w:val="24"/>
          <w:szCs w:val="24"/>
        </w:rPr>
        <w:t>uzupełnienia innych braków niż wskazane w pierwszym wezwaniu.</w:t>
      </w:r>
    </w:p>
    <w:p>
      <w:pPr>
        <w:pStyle w:val="Akapitzlist1"/>
        <w:numPr>
          <w:ilvl w:val="0"/>
          <w:numId w:val="29"/>
        </w:numPr>
        <w:spacing w:lineRule="auto" w:line="276" w:before="60" w:after="60"/>
        <w:ind w:left="426" w:hanging="426"/>
        <w:contextualSpacing/>
        <w:jc w:val="both"/>
        <w:rPr>
          <w:rFonts w:ascii="Arial" w:hAnsi="Arial" w:cs="Arial"/>
          <w:sz w:val="24"/>
          <w:szCs w:val="24"/>
        </w:rPr>
      </w:pPr>
      <w:r>
        <w:rPr>
          <w:rFonts w:cs="Arial" w:ascii="Arial" w:hAnsi="Arial"/>
          <w:sz w:val="24"/>
          <w:szCs w:val="24"/>
        </w:rPr>
        <w:t xml:space="preserve">Uzupełnienie wniosku może być dokonane wyłącznie w zakresie oraz terminie wskazanymi w wezwaniu z zastrzeżeniem § 6 ust. 10. </w:t>
      </w:r>
    </w:p>
    <w:p>
      <w:pPr>
        <w:pStyle w:val="Akapitzlist1"/>
        <w:numPr>
          <w:ilvl w:val="0"/>
          <w:numId w:val="29"/>
        </w:numPr>
        <w:spacing w:lineRule="auto" w:line="276" w:before="60" w:after="60"/>
        <w:ind w:left="426" w:hanging="426"/>
        <w:contextualSpacing/>
        <w:jc w:val="both"/>
        <w:rPr>
          <w:rFonts w:ascii="Arial" w:hAnsi="Arial" w:cs="Arial"/>
          <w:sz w:val="24"/>
          <w:szCs w:val="24"/>
        </w:rPr>
      </w:pPr>
      <w:r>
        <w:rPr>
          <w:rFonts w:cs="Arial" w:ascii="Arial" w:hAnsi="Arial"/>
          <w:sz w:val="24"/>
          <w:szCs w:val="24"/>
        </w:rPr>
        <w:t>Uzupełnienie wniosku lub poprawienie w nim oczywistej omyłki nie może prowadzić do jego istotnej modyfikacji. Ocena, czy uzupełnienie wniosku doprowadziło do jego istotnej modyfikacji, jest dokonywana przez właściwą jednostkę regionalną.</w:t>
      </w:r>
    </w:p>
    <w:p>
      <w:pPr>
        <w:pStyle w:val="Akapitzlist1"/>
        <w:numPr>
          <w:ilvl w:val="0"/>
          <w:numId w:val="29"/>
        </w:numPr>
        <w:spacing w:lineRule="auto" w:line="276" w:before="60" w:after="60"/>
        <w:ind w:left="426" w:hanging="426"/>
        <w:contextualSpacing/>
        <w:jc w:val="both"/>
        <w:rPr>
          <w:rFonts w:ascii="Arial" w:hAnsi="Arial" w:cs="Arial"/>
          <w:b/>
          <w:b/>
          <w:caps/>
          <w:sz w:val="24"/>
          <w:szCs w:val="24"/>
          <w:lang w:eastAsia="ar-SA"/>
        </w:rPr>
      </w:pPr>
      <w:r>
        <w:rPr>
          <w:rFonts w:cs="Arial" w:ascii="Arial" w:hAnsi="Arial"/>
          <w:sz w:val="24"/>
          <w:szCs w:val="24"/>
        </w:rPr>
        <w:t xml:space="preserve">W przypadku nieuzupełnienia braków w terminie lub zakresie wskazanym w wezwaniu, wniosek jest pozostawiany bez rozpatrzenia, z zastrzeżeniem </w:t>
      </w:r>
      <w:r>
        <w:rPr>
          <w:rFonts w:cs="Arial" w:ascii="Arial" w:hAnsi="Arial"/>
          <w:color w:val="000000"/>
          <w:sz w:val="24"/>
          <w:szCs w:val="24"/>
        </w:rPr>
        <w:t>§ 6</w:t>
      </w:r>
      <w:r>
        <w:rPr>
          <w:rFonts w:cs="Arial" w:ascii="Arial" w:hAnsi="Arial"/>
          <w:sz w:val="24"/>
          <w:szCs w:val="24"/>
        </w:rPr>
        <w:t xml:space="preserve"> ust. </w:t>
      </w:r>
      <w:r>
        <w:rPr>
          <w:rFonts w:cs="Arial" w:ascii="Arial" w:hAnsi="Arial"/>
          <w:color w:val="000000"/>
          <w:sz w:val="24"/>
          <w:szCs w:val="24"/>
        </w:rPr>
        <w:t>10</w:t>
      </w:r>
      <w:r>
        <w:rPr>
          <w:rFonts w:cs="Arial" w:ascii="Arial" w:hAnsi="Arial"/>
          <w:sz w:val="24"/>
          <w:szCs w:val="24"/>
        </w:rPr>
        <w:t>.</w:t>
      </w:r>
    </w:p>
    <w:p>
      <w:pPr>
        <w:pStyle w:val="Akapitzlist1"/>
        <w:numPr>
          <w:ilvl w:val="0"/>
          <w:numId w:val="29"/>
        </w:numPr>
        <w:spacing w:lineRule="auto" w:line="276" w:before="60" w:after="60"/>
        <w:ind w:left="426" w:hanging="426"/>
        <w:contextualSpacing/>
        <w:jc w:val="both"/>
        <w:rPr>
          <w:rFonts w:ascii="Arial" w:hAnsi="Arial" w:cs="Arial"/>
          <w:b/>
          <w:b/>
          <w:caps/>
          <w:sz w:val="24"/>
          <w:szCs w:val="24"/>
          <w:lang w:eastAsia="ar-SA"/>
        </w:rPr>
      </w:pPr>
      <w:r>
        <w:rPr>
          <w:rFonts w:cs="Arial" w:ascii="Arial" w:hAnsi="Arial"/>
          <w:sz w:val="24"/>
          <w:szCs w:val="24"/>
        </w:rPr>
        <w:t>W przypadku uzupełnienia wniosku w sposób wykraczający poza zakres objęty wezwaniem, wniosek pozostawia się bez rozpatrzenia, z zastrzeżeniem ust. 12.</w:t>
      </w:r>
    </w:p>
    <w:p>
      <w:pPr>
        <w:pStyle w:val="Akapitzlist1"/>
        <w:numPr>
          <w:ilvl w:val="0"/>
          <w:numId w:val="29"/>
        </w:numPr>
        <w:spacing w:lineRule="auto" w:line="276" w:before="60" w:after="60"/>
        <w:ind w:left="426" w:hanging="426"/>
        <w:contextualSpacing/>
        <w:jc w:val="both"/>
        <w:rPr>
          <w:rFonts w:ascii="Arial" w:hAnsi="Arial" w:cs="Arial"/>
          <w:caps/>
          <w:sz w:val="24"/>
          <w:szCs w:val="24"/>
          <w:lang w:eastAsia="ar-SA"/>
        </w:rPr>
      </w:pPr>
      <w:r>
        <w:rPr>
          <w:rFonts w:cs="Arial" w:ascii="Arial" w:hAnsi="Arial"/>
          <w:sz w:val="24"/>
          <w:szCs w:val="24"/>
          <w:lang w:eastAsia="ar-SA"/>
        </w:rPr>
        <w:t>Wniosku nie pozostawia się bez rozpatrzenia w przypadku, gdy poprawki lub uzupełnienia wykraczające poza zakres wezwania są niezbędne dla zachowania spójności w treści wniosku oraz nie prowadzą do jego istotnej modyfikacji w związku z uzupełnieniem braków formalnych.</w:t>
      </w:r>
    </w:p>
    <w:p>
      <w:pPr>
        <w:pStyle w:val="Akapitzlist1"/>
        <w:numPr>
          <w:ilvl w:val="0"/>
          <w:numId w:val="29"/>
        </w:numPr>
        <w:spacing w:lineRule="auto" w:line="276" w:before="60" w:after="60"/>
        <w:ind w:left="426" w:hanging="426"/>
        <w:contextualSpacing/>
        <w:jc w:val="both"/>
        <w:rPr>
          <w:rFonts w:ascii="Arial" w:hAnsi="Arial" w:cs="Arial"/>
          <w:caps/>
          <w:sz w:val="24"/>
          <w:szCs w:val="24"/>
          <w:lang w:eastAsia="ar-SA"/>
        </w:rPr>
      </w:pPr>
      <w:r>
        <w:rPr>
          <w:rFonts w:cs="Arial" w:ascii="Arial" w:hAnsi="Arial"/>
          <w:sz w:val="24"/>
          <w:szCs w:val="24"/>
          <w:lang w:eastAsia="ar-SA"/>
        </w:rPr>
        <w:t>W przypadku, o którym mowa w ust. 12, partner KSOW ma obowiązek poinformować właściwą jednostkę regionalną o dokonanych poprawkach lub uzupełnieniach wykraczających poza zakres wezwania. Właściwa jednostka regionalna dokonuje oceny, czy poprawki lub uzupełnienia wprowadzone przez partnera KSOW były niezbędne dla zachowania spójności w treści wniosku w związku z uzupełnieniem braków formalnych wskazanych w wezwaniu i nie powodują istotnej modyfikacji wniosku.</w:t>
      </w:r>
    </w:p>
    <w:p>
      <w:pPr>
        <w:pStyle w:val="Normal"/>
        <w:spacing w:lineRule="auto" w:line="276" w:before="60" w:after="60"/>
        <w:ind w:left="360" w:hanging="357"/>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ind w:left="360" w:hanging="357"/>
        <w:jc w:val="center"/>
        <w:rPr>
          <w:rFonts w:ascii="Arial" w:hAnsi="Arial" w:cs="Arial"/>
          <w:b/>
          <w:b/>
          <w:sz w:val="24"/>
          <w:szCs w:val="24"/>
          <w:lang w:eastAsia="ar-SA"/>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8.</w:t>
      </w:r>
    </w:p>
    <w:p>
      <w:pPr>
        <w:pStyle w:val="Normal"/>
        <w:spacing w:lineRule="auto" w:line="276" w:before="60" w:after="60"/>
        <w:jc w:val="center"/>
        <w:rPr>
          <w:rFonts w:ascii="Arial" w:hAnsi="Arial" w:cs="Arial"/>
          <w:sz w:val="24"/>
          <w:szCs w:val="24"/>
          <w:lang w:eastAsia="ar-SA"/>
        </w:rPr>
      </w:pPr>
      <w:r>
        <w:rPr>
          <w:rFonts w:cs="Arial" w:ascii="Arial" w:hAnsi="Arial"/>
          <w:b/>
          <w:sz w:val="24"/>
          <w:szCs w:val="24"/>
          <w:lang w:eastAsia="ar-SA"/>
        </w:rPr>
        <w:t xml:space="preserve">Ogólne zasady dokonywania oceny wniosków </w:t>
      </w:r>
    </w:p>
    <w:p>
      <w:pPr>
        <w:pStyle w:val="Akapitzlist1"/>
        <w:numPr>
          <w:ilvl w:val="0"/>
          <w:numId w:val="16"/>
        </w:numPr>
        <w:spacing w:before="0" w:after="0"/>
        <w:ind w:left="426" w:hanging="426"/>
        <w:contextualSpacing/>
        <w:jc w:val="both"/>
        <w:rPr>
          <w:rFonts w:ascii="Arial" w:hAnsi="Arial" w:cs="Arial"/>
          <w:sz w:val="24"/>
          <w:szCs w:val="24"/>
          <w:lang w:eastAsia="ar-SA"/>
        </w:rPr>
      </w:pPr>
      <w:r>
        <w:rPr>
          <w:rFonts w:cs="Arial" w:ascii="Arial" w:hAnsi="Arial"/>
          <w:sz w:val="24"/>
          <w:szCs w:val="24"/>
          <w:lang w:eastAsia="ar-SA"/>
        </w:rPr>
        <w:t xml:space="preserve">Ocena wniosków jest przeprowadzana przez pracowników właściwej jednostki regionalnej. </w:t>
      </w:r>
    </w:p>
    <w:p>
      <w:pPr>
        <w:pStyle w:val="Akapitzlist1"/>
        <w:numPr>
          <w:ilvl w:val="0"/>
          <w:numId w:val="16"/>
        </w:numPr>
        <w:spacing w:before="0" w:after="0"/>
        <w:ind w:left="426" w:hanging="426"/>
        <w:contextualSpacing/>
        <w:jc w:val="both"/>
        <w:rPr>
          <w:rFonts w:ascii="Arial" w:hAnsi="Arial" w:cs="Arial"/>
          <w:sz w:val="24"/>
          <w:szCs w:val="24"/>
          <w:lang w:eastAsia="ar-SA"/>
        </w:rPr>
      </w:pPr>
      <w:r>
        <w:rPr>
          <w:rFonts w:cs="Arial" w:ascii="Arial" w:hAnsi="Arial"/>
          <w:sz w:val="24"/>
          <w:szCs w:val="24"/>
          <w:lang w:eastAsia="ar-SA"/>
        </w:rPr>
        <w:t xml:space="preserve">Ocena wniosków dokonywana jest w oparciu o Przewodnik po ocenie wniosku. O kolejności przeprowadzania poszczególnych etapów oceny wniosku decyduje jednostka regionalna właściwa do oceny wniosku. </w:t>
      </w:r>
    </w:p>
    <w:p>
      <w:pPr>
        <w:pStyle w:val="Akapitzlist1"/>
        <w:numPr>
          <w:ilvl w:val="0"/>
          <w:numId w:val="16"/>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 xml:space="preserve">Ocena wniosków dokonywana jest na podstawie informacji zawartych we wniosku i załącznikach oraz na podstawie informacji lub dokumentów złożonych przez partnera KSOW na wezwanie do uzupełnienia lub poprawienia wniosku (jeśli partner KSOW był wezwany do ich złożenia). </w:t>
      </w:r>
    </w:p>
    <w:p>
      <w:pPr>
        <w:pStyle w:val="Akapitzlist1"/>
        <w:numPr>
          <w:ilvl w:val="0"/>
          <w:numId w:val="16"/>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Proces oceny wniosków liczony jest od dnia następującego po dniu zakończenia naboru wniosków do dnia ogłoszenia na stronach internetowych wskazanych w § 3 ust. 3 lit. e listy operacji ocenionych i trwa do 75 dni. Z przyczyn związanych z ogłoszeniem na obszarze Rzeczypospolitej Polskiej stanu zagrożenia epidemicznego lub stanu epidemii w związku z zakażeniami wirusem SARS-CoV-2 lub wprowadzeniem stanu nadzwyczajnego w związku z zakażeniami tym wirusem, termin ten może ulec wydłużeniu.</w:t>
      </w:r>
    </w:p>
    <w:p>
      <w:pPr>
        <w:pStyle w:val="Akapitzlist1"/>
        <w:numPr>
          <w:ilvl w:val="0"/>
          <w:numId w:val="16"/>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 xml:space="preserve">Wezwanie Partnera KSOW do uzupełnienia wniosku oraz złożenie wniosku do niewłaściwej jednostki regionalnej wstrzymuje bieg terminu, o którym mowa w ust. 4. </w:t>
      </w:r>
    </w:p>
    <w:p>
      <w:pPr>
        <w:pStyle w:val="Akapitzlist1"/>
        <w:numPr>
          <w:ilvl w:val="0"/>
          <w:numId w:val="16"/>
        </w:numPr>
        <w:spacing w:lineRule="auto" w:line="276" w:before="60" w:after="60"/>
        <w:ind w:left="426" w:hanging="426"/>
        <w:contextualSpacing/>
        <w:jc w:val="both"/>
        <w:rPr>
          <w:rFonts w:ascii="Arial" w:hAnsi="Arial" w:cs="Arial"/>
          <w:color w:val="000000"/>
          <w:sz w:val="24"/>
          <w:szCs w:val="24"/>
        </w:rPr>
      </w:pPr>
      <w:r>
        <w:rPr>
          <w:rFonts w:cs="Arial" w:ascii="Arial" w:hAnsi="Arial"/>
          <w:sz w:val="24"/>
          <w:szCs w:val="24"/>
          <w:lang w:eastAsia="ar-SA"/>
        </w:rPr>
        <w:t>Prawdziwość oświadczeń i danych zawartych we wniosku może zostać zweryfikowana zarówno w trakcie trwania jego oceny, jak również po jej zakończeniu, w tym po zawarciu z </w:t>
      </w:r>
      <w:r>
        <w:rPr>
          <w:rFonts w:cs="Arial" w:ascii="Arial" w:hAnsi="Arial"/>
          <w:sz w:val="24"/>
          <w:szCs w:val="24"/>
        </w:rPr>
        <w:t>partnerem KSOW</w:t>
      </w:r>
      <w:r>
        <w:rPr>
          <w:rFonts w:cs="Arial" w:ascii="Arial" w:hAnsi="Arial"/>
          <w:sz w:val="24"/>
          <w:szCs w:val="24"/>
          <w:lang w:eastAsia="ar-SA"/>
        </w:rPr>
        <w:t xml:space="preserve"> umowy na realizację operacji.</w:t>
      </w:r>
    </w:p>
    <w:p>
      <w:pPr>
        <w:pStyle w:val="ListParagraph"/>
        <w:numPr>
          <w:ilvl w:val="0"/>
          <w:numId w:val="16"/>
        </w:numPr>
        <w:spacing w:before="60" w:after="60"/>
        <w:ind w:left="426" w:hanging="426"/>
        <w:contextualSpacing/>
        <w:jc w:val="both"/>
        <w:rPr>
          <w:rFonts w:ascii="Arial" w:hAnsi="Arial" w:cs="Arial"/>
          <w:b/>
          <w:b/>
          <w:caps/>
          <w:sz w:val="24"/>
          <w:szCs w:val="24"/>
          <w:lang w:eastAsia="ar-SA"/>
        </w:rPr>
      </w:pPr>
      <w:r>
        <w:rPr>
          <w:rFonts w:eastAsia="Calibri" w:cs="Arial" w:ascii="Arial" w:hAnsi="Arial"/>
          <w:color w:val="00000A"/>
          <w:kern w:val="2"/>
          <w:sz w:val="24"/>
          <w:szCs w:val="24"/>
          <w:lang w:eastAsia="ar-SA"/>
        </w:rPr>
        <w:t>Jeżeli jest to niezbędne dla rozstrzygnięcia sprawy lub dla wykonywania czynności urzędowych w trakcie dokonywania oceny wniosku, właściwa</w:t>
      </w:r>
      <w:r>
        <w:rPr>
          <w:rFonts w:cs="Arial" w:ascii="Arial" w:hAnsi="Arial"/>
          <w:sz w:val="24"/>
          <w:szCs w:val="24"/>
        </w:rPr>
        <w:t xml:space="preserve"> jednostka regionalna może wzywać partnera KSOW lub dodatkowego partnera KSOW do udziału w podejmowanych czynnościach i do złożenia wyjaśnień lub zeznań osobiście, przez pełnomocnika, na piśmie lub w formie dokumentu elektronicznego. W takich przypadkach stosuje się przepisy Kodeksu postępowania administracyjnego dotyczące wezwań. Postanowienie </w:t>
      </w:r>
      <w:r>
        <w:rPr>
          <w:rFonts w:cs="Arial" w:ascii="Arial" w:hAnsi="Arial"/>
          <w:color w:val="000000"/>
          <w:sz w:val="24"/>
          <w:szCs w:val="24"/>
        </w:rPr>
        <w:t>§ 6 ust. 10 stosuje się odpowiednio.</w:t>
      </w:r>
      <w:r>
        <w:rPr>
          <w:rFonts w:cs="Arial" w:ascii="Arial" w:hAnsi="Arial"/>
          <w:sz w:val="24"/>
          <w:szCs w:val="24"/>
        </w:rPr>
        <w:t xml:space="preserve">  </w:t>
      </w:r>
    </w:p>
    <w:p>
      <w:pPr>
        <w:pStyle w:val="Akapitzlist1"/>
        <w:numPr>
          <w:ilvl w:val="0"/>
          <w:numId w:val="16"/>
        </w:numPr>
        <w:tabs>
          <w:tab w:val="clear" w:pos="720"/>
          <w:tab w:val="left" w:pos="426" w:leader="none"/>
        </w:tabs>
        <w:spacing w:lineRule="auto" w:line="276" w:before="60" w:after="60"/>
        <w:ind w:left="426" w:hanging="426"/>
        <w:contextualSpacing/>
        <w:jc w:val="both"/>
        <w:rPr>
          <w:rFonts w:ascii="Arial" w:hAnsi="Arial" w:eastAsia="Times New Roman" w:cs="Arial"/>
          <w:color w:val="auto"/>
          <w:kern w:val="0"/>
          <w:sz w:val="24"/>
          <w:szCs w:val="24"/>
          <w:lang w:eastAsia="pl-PL"/>
        </w:rPr>
      </w:pPr>
      <w:r>
        <w:rPr>
          <w:rFonts w:eastAsia="Times New Roman" w:cs="Arial" w:ascii="Arial" w:hAnsi="Arial"/>
          <w:color w:val="auto"/>
          <w:kern w:val="0"/>
          <w:sz w:val="24"/>
          <w:szCs w:val="24"/>
          <w:lang w:eastAsia="pl-PL"/>
        </w:rPr>
        <w:t>Partner KSOW ma prawo dostępu do dokumentów związanych z oceną złożonego wniosku, przy zachowaniu zasady anonimowości osób dokonujących oceny wniosku, zgodnie z przepisami Kodeksu postępowania administracyjnego dotyczącymi udostępniania akt. Zasada anonimowości nie obowiązuje po podjęciu decyzji o wyborze operacji do realizacji.</w:t>
      </w:r>
    </w:p>
    <w:p>
      <w:pPr>
        <w:pStyle w:val="Akapitzlist1"/>
        <w:numPr>
          <w:ilvl w:val="0"/>
          <w:numId w:val="16"/>
        </w:numPr>
        <w:spacing w:lineRule="auto" w:line="276" w:before="60" w:after="60"/>
        <w:ind w:left="426" w:hanging="426"/>
        <w:contextualSpacing/>
        <w:jc w:val="both"/>
        <w:rPr>
          <w:rFonts w:ascii="Arial" w:hAnsi="Arial" w:cs="Arial"/>
          <w:sz w:val="24"/>
          <w:szCs w:val="24"/>
        </w:rPr>
      </w:pPr>
      <w:r>
        <w:rPr>
          <w:rFonts w:cs="Arial" w:ascii="Arial" w:hAnsi="Arial"/>
          <w:sz w:val="24"/>
          <w:szCs w:val="24"/>
          <w:lang w:eastAsia="ar-SA"/>
        </w:rPr>
        <w:t>W przypadku doręczenia pisma za pokwitowaniem, w razie niemożności doręczenia pisma w siedzibie partnera KSOW poczta przechowuje pismo przez okres czternastu dni w swojej placówce pocztowej. W razie dwukrotnego niepodjęcia pisma w tym terminie lub odmowy podjęcia pisma, pismo uważa się za skutecznie doręczone z upływem 14–dniowego terminu i zostaje włączone do akt</w:t>
      </w:r>
      <w:r>
        <w:rPr>
          <w:rFonts w:cs="Arial" w:ascii="Arial" w:hAnsi="Arial"/>
          <w:sz w:val="24"/>
          <w:szCs w:val="24"/>
        </w:rPr>
        <w:t xml:space="preserve"> sprawy.</w:t>
      </w:r>
    </w:p>
    <w:p>
      <w:pPr>
        <w:pStyle w:val="Akapitzlist1"/>
        <w:numPr>
          <w:ilvl w:val="0"/>
          <w:numId w:val="16"/>
        </w:numPr>
        <w:spacing w:lineRule="auto" w:line="276" w:before="60" w:after="60"/>
        <w:ind w:left="426" w:hanging="426"/>
        <w:contextualSpacing/>
        <w:jc w:val="both"/>
        <w:rPr>
          <w:rFonts w:ascii="Arial" w:hAnsi="Arial" w:cs="Arial"/>
          <w:b/>
          <w:b/>
          <w:caps/>
          <w:sz w:val="24"/>
          <w:szCs w:val="24"/>
          <w:lang w:eastAsia="ar-SA"/>
        </w:rPr>
      </w:pPr>
      <w:r>
        <w:rPr>
          <w:rFonts w:cs="Arial" w:ascii="Arial" w:hAnsi="Arial"/>
          <w:sz w:val="24"/>
          <w:szCs w:val="24"/>
        </w:rPr>
        <w:t xml:space="preserve">Partner KSOW zobowiązany jest zawiadomić właściwą </w:t>
      </w:r>
      <w:r>
        <w:rPr>
          <w:rFonts w:cs="Arial" w:ascii="Arial" w:hAnsi="Arial"/>
          <w:sz w:val="24"/>
          <w:szCs w:val="24"/>
          <w:lang w:eastAsia="ar-SA"/>
        </w:rPr>
        <w:t>jednostkę regionalną</w:t>
      </w:r>
      <w:r>
        <w:rPr>
          <w:rFonts w:cs="Arial" w:ascii="Arial" w:hAnsi="Arial"/>
          <w:sz w:val="24"/>
          <w:szCs w:val="24"/>
        </w:rPr>
        <w:t xml:space="preserve"> o każdej zmianie swojego adresu, w tym adresu poczty elektronicznej. W razie zaniedbania tego obowiązku, doręczenie pisma pod dotychczasowym adresem uznane zostanie za skuteczne.</w:t>
      </w:r>
    </w:p>
    <w:p>
      <w:pPr>
        <w:pStyle w:val="Normal"/>
        <w:spacing w:lineRule="auto" w:line="276" w:before="60" w:after="60"/>
        <w:ind w:left="360" w:hanging="357"/>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ind w:left="360" w:hanging="357"/>
        <w:jc w:val="center"/>
        <w:rPr>
          <w:rFonts w:ascii="Arial" w:hAnsi="Arial" w:cs="Arial"/>
          <w:b/>
          <w:b/>
          <w:sz w:val="24"/>
          <w:szCs w:val="24"/>
          <w:lang w:eastAsia="ar-SA"/>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9.</w:t>
      </w:r>
    </w:p>
    <w:p>
      <w:pPr>
        <w:pStyle w:val="Normal"/>
        <w:spacing w:lineRule="auto" w:line="276" w:before="60" w:after="60"/>
        <w:jc w:val="center"/>
        <w:rPr>
          <w:rFonts w:ascii="Arial" w:hAnsi="Arial" w:cs="Arial"/>
          <w:sz w:val="24"/>
          <w:szCs w:val="24"/>
        </w:rPr>
      </w:pPr>
      <w:r>
        <w:rPr>
          <w:rFonts w:cs="Arial" w:ascii="Arial" w:hAnsi="Arial"/>
          <w:b/>
          <w:sz w:val="24"/>
          <w:szCs w:val="24"/>
          <w:lang w:eastAsia="ar-SA"/>
        </w:rPr>
        <w:t>Zasady dokonywania oceny spełnienia wymogów formalnych wniosku i warunków wyboru operacji</w:t>
      </w:r>
    </w:p>
    <w:p>
      <w:pPr>
        <w:pStyle w:val="Akapitzlist1"/>
        <w:numPr>
          <w:ilvl w:val="0"/>
          <w:numId w:val="17"/>
        </w:numPr>
        <w:spacing w:lineRule="auto" w:line="276" w:before="60" w:after="60"/>
        <w:ind w:left="426" w:hanging="426"/>
        <w:contextualSpacing/>
        <w:jc w:val="both"/>
        <w:rPr>
          <w:rFonts w:ascii="Arial" w:hAnsi="Arial" w:cs="Arial"/>
          <w:sz w:val="24"/>
          <w:szCs w:val="24"/>
        </w:rPr>
      </w:pPr>
      <w:r>
        <w:rPr>
          <w:rFonts w:cs="Arial" w:ascii="Arial" w:hAnsi="Arial"/>
          <w:sz w:val="24"/>
          <w:szCs w:val="24"/>
        </w:rPr>
        <w:t>Ocena wniosku w zakresie</w:t>
      </w:r>
      <w:r>
        <w:rPr>
          <w:rFonts w:cs="Arial" w:ascii="Arial" w:hAnsi="Arial"/>
        </w:rPr>
        <w:t xml:space="preserve"> </w:t>
      </w:r>
      <w:r>
        <w:rPr>
          <w:rFonts w:cs="Arial" w:ascii="Arial" w:hAnsi="Arial"/>
          <w:sz w:val="24"/>
          <w:szCs w:val="24"/>
        </w:rPr>
        <w:t xml:space="preserve">spełnienia wymogów formalnych i warunków wyboru operacji przeprowadzana jest w oparciu o część I i II Przewodnika po ocenie wniosku. </w:t>
      </w:r>
    </w:p>
    <w:p>
      <w:pPr>
        <w:pStyle w:val="Akapitzlist1"/>
        <w:numPr>
          <w:ilvl w:val="0"/>
          <w:numId w:val="17"/>
        </w:numPr>
        <w:spacing w:lineRule="auto" w:line="276" w:before="60" w:after="60"/>
        <w:ind w:left="426" w:hanging="426"/>
        <w:contextualSpacing/>
        <w:jc w:val="both"/>
        <w:rPr>
          <w:rFonts w:ascii="Arial" w:hAnsi="Arial" w:cs="Arial"/>
          <w:sz w:val="24"/>
          <w:szCs w:val="24"/>
        </w:rPr>
      </w:pPr>
      <w:r>
        <w:rPr>
          <w:rFonts w:cs="Arial" w:ascii="Arial" w:hAnsi="Arial"/>
          <w:sz w:val="24"/>
          <w:szCs w:val="24"/>
        </w:rPr>
        <w:t>Ocena jest dokonywana przez co najmniej dwóch pracowników jednostki regionalnej, którzy są obowiązani do zachowania bezstronności i poufności.</w:t>
      </w:r>
      <w:r>
        <w:rPr>
          <w:rFonts w:cs="Arial" w:ascii="Arial" w:hAnsi="Arial"/>
        </w:rPr>
        <w:t xml:space="preserve"> </w:t>
      </w:r>
    </w:p>
    <w:p>
      <w:pPr>
        <w:pStyle w:val="Akapitzlist1"/>
        <w:numPr>
          <w:ilvl w:val="0"/>
          <w:numId w:val="17"/>
        </w:numPr>
        <w:spacing w:lineRule="auto" w:line="276" w:before="60" w:after="60"/>
        <w:ind w:left="426" w:hanging="426"/>
        <w:contextualSpacing/>
        <w:jc w:val="both"/>
        <w:rPr>
          <w:rFonts w:ascii="Arial" w:hAnsi="Arial" w:cs="Arial"/>
          <w:sz w:val="24"/>
          <w:szCs w:val="24"/>
        </w:rPr>
      </w:pPr>
      <w:r>
        <w:rPr>
          <w:rFonts w:cs="Arial" w:ascii="Arial" w:hAnsi="Arial"/>
          <w:sz w:val="24"/>
          <w:szCs w:val="24"/>
        </w:rPr>
        <w:t>Wniosek podlega ocenie pod kątem prawidłowego wypełnienia wszystkich wymaganych pól oraz załączenia prawidłowych i poprawnie wypełnionych wszystkich wymaganych i deklarowanych załączników, dokonywanej w sposób określony w części I Przewodnika po ocenie wniosku, a operacja pod kątem spełnienia wszystkich warunków wyboru operacji wskazanych w części II tego Przewodnika.</w:t>
      </w:r>
    </w:p>
    <w:p>
      <w:pPr>
        <w:pStyle w:val="Akapitzlist1"/>
        <w:numPr>
          <w:ilvl w:val="0"/>
          <w:numId w:val="17"/>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Jeżeli w trakcie dokonywania oceny wniosku jednostka regionalna stwierdzi, że operacja nie spełnia jednego z warunków wyboru określonych w części II tego Przewodnika, kończy dokonywanie tej oceny i informuje partnera KSOW o niespełnieniu warunku wyboru operacji zgodnie z ust. 7, chyba że niespełnienie warunku jest spowodowane brakiem we wniosku, który według jednostki regionalnej może być uzupełniony w drodze wezwania.</w:t>
      </w:r>
    </w:p>
    <w:p>
      <w:pPr>
        <w:pStyle w:val="Akapitzlist1"/>
        <w:numPr>
          <w:ilvl w:val="0"/>
          <w:numId w:val="17"/>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 xml:space="preserve">Jeżeli w trakcie dokonywania oceny wniosku jednostka regionalna stwierdzi, że operacja nie spełnia jednego z kryteriów określonych w części III pkt 1–4 tego Przewodnika, kończy dokonywanie tej oceny; do takiej operacji stosuje się odpowiednio postanowienia § 11 ust. 3-6, 11, 12 i 15, chyba że niespełnienie kryterium jest spowodowane brakiem we wniosku, który według jednostki regionalnej może być uzupełniony w drodze wezwania. </w:t>
      </w:r>
    </w:p>
    <w:p>
      <w:pPr>
        <w:pStyle w:val="Akapitzlist1"/>
        <w:numPr>
          <w:ilvl w:val="0"/>
          <w:numId w:val="17"/>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W wyniku oceny spełnienia wymogów formalnych i warunków wyboru operacji wniosek:</w:t>
      </w:r>
    </w:p>
    <w:p>
      <w:pPr>
        <w:pStyle w:val="Normal"/>
        <w:numPr>
          <w:ilvl w:val="0"/>
          <w:numId w:val="6"/>
        </w:numPr>
        <w:tabs>
          <w:tab w:val="clear" w:pos="720"/>
          <w:tab w:val="left" w:pos="426" w:leader="none"/>
        </w:tabs>
        <w:spacing w:lineRule="auto" w:line="276" w:before="0" w:after="0"/>
        <w:jc w:val="both"/>
        <w:rPr>
          <w:rFonts w:ascii="Arial" w:hAnsi="Arial" w:cs="Arial"/>
          <w:sz w:val="24"/>
          <w:szCs w:val="24"/>
          <w:lang w:eastAsia="ar-SA"/>
        </w:rPr>
      </w:pPr>
      <w:r>
        <w:rPr>
          <w:rFonts w:cs="Arial" w:ascii="Arial" w:hAnsi="Arial"/>
          <w:sz w:val="24"/>
          <w:szCs w:val="24"/>
          <w:lang w:eastAsia="ar-SA"/>
        </w:rPr>
        <w:t xml:space="preserve">kierowany jest do oceny spełnienia kryteriów wyboru operacji – w przypadku spełnienia wszystkich </w:t>
      </w:r>
      <w:r>
        <w:rPr>
          <w:rFonts w:cs="Arial" w:ascii="Arial" w:hAnsi="Arial"/>
          <w:sz w:val="24"/>
          <w:szCs w:val="24"/>
          <w:lang w:eastAsia="pl-PL"/>
        </w:rPr>
        <w:t xml:space="preserve">wymogów formalnych i warunków określonych w części I i II </w:t>
      </w:r>
      <w:r>
        <w:rPr>
          <w:rFonts w:cs="Arial" w:ascii="Arial" w:hAnsi="Arial"/>
          <w:sz w:val="24"/>
          <w:szCs w:val="24"/>
        </w:rPr>
        <w:t>Przewodnika po ocenie wniosku</w:t>
      </w:r>
      <w:r>
        <w:rPr>
          <w:rFonts w:cs="Arial" w:ascii="Arial" w:hAnsi="Arial"/>
          <w:sz w:val="24"/>
          <w:szCs w:val="24"/>
          <w:lang w:eastAsia="pl-PL"/>
        </w:rPr>
        <w:t>;</w:t>
      </w:r>
    </w:p>
    <w:p>
      <w:pPr>
        <w:pStyle w:val="Normal"/>
        <w:numPr>
          <w:ilvl w:val="0"/>
          <w:numId w:val="6"/>
        </w:numPr>
        <w:tabs>
          <w:tab w:val="clear" w:pos="720"/>
          <w:tab w:val="left" w:pos="426" w:leader="none"/>
        </w:tabs>
        <w:spacing w:lineRule="auto" w:line="276" w:before="0" w:after="0"/>
        <w:ind w:left="720" w:hanging="357"/>
        <w:jc w:val="both"/>
        <w:rPr>
          <w:rFonts w:ascii="Arial" w:hAnsi="Arial" w:cs="Arial"/>
          <w:sz w:val="24"/>
          <w:szCs w:val="24"/>
          <w:lang w:eastAsia="ar-SA"/>
        </w:rPr>
      </w:pPr>
      <w:r>
        <w:rPr>
          <w:rFonts w:cs="Arial" w:ascii="Arial" w:hAnsi="Arial"/>
          <w:sz w:val="24"/>
          <w:szCs w:val="24"/>
          <w:lang w:eastAsia="ar-SA"/>
        </w:rPr>
        <w:t xml:space="preserve">pozostawiony jest bez rozpatrzenia – w przypadku niespełnienia co najmniej jednego z </w:t>
      </w:r>
      <w:r>
        <w:rPr>
          <w:rFonts w:cs="Arial" w:ascii="Arial" w:hAnsi="Arial"/>
          <w:sz w:val="24"/>
          <w:szCs w:val="24"/>
        </w:rPr>
        <w:t xml:space="preserve">wymogów formalnych wskazanych w </w:t>
      </w:r>
      <w:r>
        <w:rPr>
          <w:rFonts w:cs="Arial" w:ascii="Arial" w:hAnsi="Arial"/>
          <w:sz w:val="24"/>
          <w:szCs w:val="24"/>
          <w:lang w:eastAsia="pl-PL"/>
        </w:rPr>
        <w:t xml:space="preserve">części I </w:t>
      </w:r>
      <w:r>
        <w:rPr>
          <w:rFonts w:cs="Arial" w:ascii="Arial" w:hAnsi="Arial"/>
          <w:sz w:val="24"/>
          <w:szCs w:val="24"/>
        </w:rPr>
        <w:t>pkt 1–3 Przewodnika po ocenie wniosku;</w:t>
      </w:r>
    </w:p>
    <w:p>
      <w:pPr>
        <w:pStyle w:val="Normal"/>
        <w:numPr>
          <w:ilvl w:val="0"/>
          <w:numId w:val="6"/>
        </w:numPr>
        <w:tabs>
          <w:tab w:val="clear" w:pos="720"/>
          <w:tab w:val="left" w:pos="426" w:leader="none"/>
        </w:tabs>
        <w:spacing w:lineRule="auto" w:line="276" w:before="0" w:after="0"/>
        <w:ind w:left="720" w:hanging="357"/>
        <w:jc w:val="both"/>
        <w:rPr>
          <w:rFonts w:ascii="Arial" w:hAnsi="Arial" w:cs="Arial"/>
          <w:sz w:val="24"/>
          <w:szCs w:val="24"/>
          <w:lang w:eastAsia="ar-SA"/>
        </w:rPr>
      </w:pPr>
      <w:r>
        <w:rPr>
          <w:rFonts w:cs="Arial" w:ascii="Arial" w:hAnsi="Arial"/>
          <w:sz w:val="24"/>
          <w:szCs w:val="24"/>
          <w:lang w:eastAsia="ar-SA"/>
        </w:rPr>
        <w:t xml:space="preserve">kierowany jest do uzupełnienia braków – w przypadku niespełnienia co najmniej jednego z </w:t>
      </w:r>
      <w:r>
        <w:rPr>
          <w:rFonts w:cs="Arial" w:ascii="Arial" w:hAnsi="Arial"/>
          <w:sz w:val="24"/>
          <w:szCs w:val="24"/>
        </w:rPr>
        <w:t>wymogów formalnych wskazanych w części I pkt 5–10 Przewodnika po ocenie wniosku</w:t>
      </w:r>
      <w:r>
        <w:rPr>
          <w:rFonts w:cs="Arial" w:ascii="Arial" w:hAnsi="Arial"/>
          <w:sz w:val="24"/>
          <w:szCs w:val="24"/>
          <w:lang w:eastAsia="pl-PL"/>
        </w:rPr>
        <w:t>;</w:t>
      </w:r>
    </w:p>
    <w:p>
      <w:pPr>
        <w:pStyle w:val="Normal"/>
        <w:numPr>
          <w:ilvl w:val="0"/>
          <w:numId w:val="6"/>
        </w:numPr>
        <w:tabs>
          <w:tab w:val="clear" w:pos="720"/>
          <w:tab w:val="left" w:pos="426" w:leader="none"/>
        </w:tabs>
        <w:spacing w:lineRule="auto" w:line="276" w:before="0" w:after="0"/>
        <w:ind w:left="720" w:hanging="357"/>
        <w:jc w:val="both"/>
        <w:rPr>
          <w:rFonts w:ascii="Arial" w:hAnsi="Arial" w:cs="Arial"/>
          <w:sz w:val="24"/>
          <w:szCs w:val="24"/>
          <w:lang w:eastAsia="ar-SA"/>
        </w:rPr>
      </w:pPr>
      <w:r>
        <w:rPr>
          <w:rFonts w:cs="Arial" w:ascii="Arial" w:hAnsi="Arial"/>
          <w:sz w:val="24"/>
          <w:szCs w:val="24"/>
          <w:lang w:eastAsia="ar-SA"/>
        </w:rPr>
        <w:t xml:space="preserve">pozostawiony jest bez rozpatrzenia – w przypadku, gdy pomimo wezwania do uzupełnienia </w:t>
      </w:r>
      <w:r>
        <w:rPr>
          <w:rFonts w:cs="Arial" w:ascii="Arial" w:hAnsi="Arial"/>
          <w:sz w:val="24"/>
          <w:szCs w:val="24"/>
        </w:rPr>
        <w:t>braków, wniosek nie został uzupełniony w terminie, z zastrzeżeniem § 6 ust. 10, lub w zakresie wskazanym w wezwaniu, lub został uzupełniony w zakresie wykraczającym poza zakres wezwania, z zastrzeżeniem § 7 ust. 12;</w:t>
      </w:r>
    </w:p>
    <w:p>
      <w:pPr>
        <w:pStyle w:val="Normal"/>
        <w:numPr>
          <w:ilvl w:val="0"/>
          <w:numId w:val="6"/>
        </w:numPr>
        <w:tabs>
          <w:tab w:val="clear" w:pos="720"/>
          <w:tab w:val="left" w:pos="426" w:leader="none"/>
        </w:tabs>
        <w:spacing w:lineRule="auto" w:line="276" w:before="0" w:after="0"/>
        <w:ind w:left="720" w:hanging="357"/>
        <w:jc w:val="both"/>
        <w:rPr>
          <w:rFonts w:ascii="Arial" w:hAnsi="Arial" w:cs="Arial"/>
          <w:sz w:val="24"/>
          <w:szCs w:val="24"/>
        </w:rPr>
      </w:pPr>
      <w:r>
        <w:rPr>
          <w:rFonts w:cs="Arial" w:ascii="Arial" w:hAnsi="Arial"/>
          <w:sz w:val="24"/>
          <w:szCs w:val="24"/>
          <w:lang w:eastAsia="ar-SA"/>
        </w:rPr>
        <w:t xml:space="preserve">nie podlega ocenie pod względem spełnienia kryteriów wyboru operacji – w przypadku gdy </w:t>
      </w:r>
      <w:r>
        <w:rPr>
          <w:rFonts w:cs="Arial" w:ascii="Arial" w:hAnsi="Arial"/>
          <w:sz w:val="24"/>
          <w:szCs w:val="24"/>
        </w:rPr>
        <w:t xml:space="preserve">nie jest spełniony co najmniej jeden warunek wyboru operacji wskazany w </w:t>
      </w:r>
      <w:r>
        <w:rPr>
          <w:rFonts w:cs="Arial" w:ascii="Arial" w:hAnsi="Arial"/>
          <w:sz w:val="24"/>
          <w:szCs w:val="24"/>
          <w:lang w:eastAsia="pl-PL"/>
        </w:rPr>
        <w:t xml:space="preserve">części II </w:t>
      </w:r>
      <w:r>
        <w:rPr>
          <w:rFonts w:cs="Arial" w:ascii="Arial" w:hAnsi="Arial"/>
          <w:sz w:val="24"/>
          <w:szCs w:val="24"/>
        </w:rPr>
        <w:t>Przewodnika po ocenie wniosku</w:t>
      </w:r>
      <w:r>
        <w:rPr>
          <w:rFonts w:cs="Arial" w:ascii="Arial" w:hAnsi="Arial"/>
          <w:sz w:val="24"/>
          <w:szCs w:val="24"/>
          <w:lang w:eastAsia="pl-PL"/>
        </w:rPr>
        <w:t>;</w:t>
      </w:r>
    </w:p>
    <w:p>
      <w:pPr>
        <w:pStyle w:val="Normal"/>
        <w:numPr>
          <w:ilvl w:val="0"/>
          <w:numId w:val="6"/>
        </w:numPr>
        <w:tabs>
          <w:tab w:val="clear" w:pos="720"/>
          <w:tab w:val="left" w:pos="426" w:leader="none"/>
        </w:tabs>
        <w:spacing w:lineRule="auto" w:line="276" w:before="0" w:after="0"/>
        <w:ind w:left="720" w:hanging="357"/>
        <w:jc w:val="both"/>
        <w:rPr>
          <w:rFonts w:ascii="Arial" w:hAnsi="Arial" w:cs="Arial"/>
          <w:sz w:val="24"/>
          <w:szCs w:val="24"/>
        </w:rPr>
      </w:pPr>
      <w:r>
        <w:rPr>
          <w:rFonts w:cs="Arial" w:ascii="Arial" w:hAnsi="Arial"/>
          <w:sz w:val="24"/>
          <w:szCs w:val="24"/>
          <w:lang w:eastAsia="pl-PL"/>
        </w:rPr>
        <w:t>nie podlega dalszej ocenie po względem spełnienia kryteriów wyboru operacji – w przypadku gdy nie jest spełnione co najmniej jedno z kryteriów wyboru operacji określonych w części III pkt 1–4 Przewodnika po ocenie wniosku.</w:t>
      </w:r>
    </w:p>
    <w:p>
      <w:pPr>
        <w:pStyle w:val="Akapitzlist1"/>
        <w:numPr>
          <w:ilvl w:val="0"/>
          <w:numId w:val="17"/>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W przypadku, o którym mowa w ust. 6 pkt 5, właściwa jednostka regionalna informuje partnera KSOW w formie pisemnej o niespełnieniu warunków wyboru operacji, wskazując, które z warunków nie zostały spełnione, wraz z  uzasadnieniem stwierdzenia niespełnienia warunków, oraz informuje partnera KSOW o przysługującym mu prawie do wniesienia do sądu administracyjnego skargi na zasadach i w trybie określonych dla aktów lub czynności, o których mowa w art. 3 § 2 pkt 4 ustawy z dnia 30 sierpnia 2002 r. - Prawo o postępowaniu przed sądami administracyjnymi.</w:t>
      </w:r>
    </w:p>
    <w:p>
      <w:pPr>
        <w:pStyle w:val="Akapitzlist1"/>
        <w:numPr>
          <w:ilvl w:val="0"/>
          <w:numId w:val="17"/>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W przypadku, o którym mowa w ust. 6 pkt 6, operację zamieszcza się na liście ocenionych operacji i informuje partnera KSOW o wyniku oceny, jak również o przysługującym mu prawie, o którym mowa w ust. 7, zgodnie z § 11.</w:t>
      </w:r>
    </w:p>
    <w:p>
      <w:pPr>
        <w:pStyle w:val="Normal"/>
        <w:tabs>
          <w:tab w:val="clear" w:pos="720"/>
          <w:tab w:val="left" w:pos="284" w:leader="none"/>
          <w:tab w:val="left" w:pos="709" w:leader="none"/>
        </w:tabs>
        <w:spacing w:lineRule="auto" w:line="276" w:before="60" w:after="60"/>
        <w:jc w:val="both"/>
        <w:rPr>
          <w:rFonts w:ascii="Arial" w:hAnsi="Arial" w:cs="Arial"/>
          <w:sz w:val="24"/>
          <w:szCs w:val="24"/>
          <w:lang w:eastAsia="ar-SA"/>
        </w:rPr>
      </w:pPr>
      <w:r>
        <w:rPr>
          <w:rFonts w:cs="Arial" w:ascii="Arial" w:hAnsi="Arial"/>
          <w:sz w:val="24"/>
          <w:szCs w:val="24"/>
          <w:lang w:eastAsia="ar-SA"/>
        </w:rPr>
      </w:r>
    </w:p>
    <w:p>
      <w:pPr>
        <w:pStyle w:val="Normal"/>
        <w:spacing w:lineRule="auto" w:line="276" w:before="60" w:after="60"/>
        <w:ind w:left="360" w:hanging="357"/>
        <w:jc w:val="center"/>
        <w:rPr>
          <w:rFonts w:ascii="Arial" w:hAnsi="Arial" w:cs="Arial"/>
          <w:b/>
          <w:b/>
          <w:iCs/>
          <w:sz w:val="24"/>
          <w:szCs w:val="24"/>
          <w:lang w:eastAsia="ar-SA"/>
        </w:rPr>
      </w:pPr>
      <w:r>
        <w:rPr>
          <w:rFonts w:cs="Arial" w:ascii="Arial" w:hAnsi="Arial"/>
          <w:b/>
          <w:iCs/>
          <w:sz w:val="24"/>
          <w:szCs w:val="24"/>
          <w:lang w:eastAsia="ar-SA"/>
        </w:rPr>
        <w:t>§ 10.</w:t>
      </w:r>
    </w:p>
    <w:p>
      <w:pPr>
        <w:pStyle w:val="Normal"/>
        <w:spacing w:lineRule="auto" w:line="276" w:before="60" w:after="60"/>
        <w:ind w:left="360" w:hanging="357"/>
        <w:jc w:val="center"/>
        <w:rPr>
          <w:rFonts w:ascii="Arial" w:hAnsi="Arial" w:cs="Arial"/>
          <w:sz w:val="24"/>
          <w:szCs w:val="24"/>
          <w:lang w:eastAsia="ar-SA"/>
        </w:rPr>
      </w:pPr>
      <w:r>
        <w:rPr>
          <w:rFonts w:cs="Arial" w:ascii="Arial" w:hAnsi="Arial"/>
          <w:b/>
          <w:iCs/>
          <w:sz w:val="24"/>
          <w:szCs w:val="24"/>
          <w:lang w:eastAsia="ar-SA"/>
        </w:rPr>
        <w:t xml:space="preserve">Zasady dokonywania oceny spełnienia kryteriów wyboru operacji </w:t>
      </w:r>
    </w:p>
    <w:p>
      <w:pPr>
        <w:pStyle w:val="Akapitzlist1"/>
        <w:numPr>
          <w:ilvl w:val="0"/>
          <w:numId w:val="18"/>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 xml:space="preserve">Ocena operacji pod względem spełnienia kryteriów wyboru dokonywana jest przez co najmniej dwóch pracowników jednostki regionalnej zgodnie z częścią III Przewodnika po ocenie wniosku. Pracownicy dokonujący tej oceny obowiązani są do zachowania bezstronności i poufności. </w:t>
      </w:r>
    </w:p>
    <w:p>
      <w:pPr>
        <w:pStyle w:val="Akapitzlist1"/>
        <w:numPr>
          <w:ilvl w:val="0"/>
          <w:numId w:val="18"/>
        </w:numPr>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W przypadku stwierdzenia, że operacja nie spełnia co najmniej jednego z kryteriów określonych w części III pkt 1–4 Przewodnika po ocenie wniosku, nie podlega ona dalszej ocenie. Do takiej operacji stosuje się postanowienia § 11,</w:t>
      </w:r>
      <w:r>
        <w:rPr>
          <w:rFonts w:cs="Arial" w:ascii="Arial" w:hAnsi="Arial"/>
        </w:rPr>
        <w:t xml:space="preserve"> </w:t>
      </w:r>
      <w:r>
        <w:rPr>
          <w:rFonts w:cs="Arial" w:ascii="Arial" w:hAnsi="Arial"/>
          <w:sz w:val="24"/>
          <w:szCs w:val="24"/>
          <w:lang w:eastAsia="ar-SA"/>
        </w:rPr>
        <w:t>chyba że niespełnienie kryterium jest spowodowane brakiem we wniosku, który według jednostki regionalnej może być uzupełniony w drodze wezwania.</w:t>
      </w:r>
    </w:p>
    <w:p>
      <w:pPr>
        <w:pStyle w:val="Akapitzlist1"/>
        <w:spacing w:lineRule="auto" w:line="276" w:before="60" w:after="60"/>
        <w:ind w:left="502" w:hanging="0"/>
        <w:contextualSpacing/>
        <w:jc w:val="both"/>
        <w:rPr>
          <w:rFonts w:ascii="Arial" w:hAnsi="Arial" w:cs="Arial"/>
          <w:sz w:val="24"/>
          <w:szCs w:val="24"/>
          <w:lang w:eastAsia="ar-SA"/>
        </w:rPr>
      </w:pPr>
      <w:r>
        <w:rPr>
          <w:rFonts w:cs="Arial" w:ascii="Arial" w:hAnsi="Arial"/>
          <w:sz w:val="24"/>
          <w:szCs w:val="24"/>
          <w:lang w:eastAsia="ar-SA"/>
        </w:rPr>
      </w:r>
    </w:p>
    <w:p>
      <w:pPr>
        <w:pStyle w:val="Akapitzlist1"/>
        <w:tabs>
          <w:tab w:val="clear" w:pos="720"/>
          <w:tab w:val="left" w:pos="284" w:leader="none"/>
          <w:tab w:val="left" w:pos="709" w:leader="none"/>
        </w:tabs>
        <w:spacing w:lineRule="auto" w:line="276" w:before="60" w:after="60"/>
        <w:ind w:left="360" w:hanging="0"/>
        <w:contextualSpacing/>
        <w:jc w:val="center"/>
        <w:rPr>
          <w:rFonts w:ascii="Arial" w:hAnsi="Arial" w:cs="Arial"/>
          <w:b/>
          <w:b/>
          <w:iCs/>
          <w:sz w:val="24"/>
          <w:szCs w:val="24"/>
          <w:lang w:eastAsia="ar-SA"/>
        </w:rPr>
      </w:pPr>
      <w:r>
        <w:rPr>
          <w:rFonts w:cs="Arial" w:ascii="Arial" w:hAnsi="Arial"/>
          <w:b/>
          <w:iCs/>
          <w:sz w:val="24"/>
          <w:szCs w:val="24"/>
          <w:lang w:eastAsia="ar-SA"/>
        </w:rPr>
      </w:r>
    </w:p>
    <w:p>
      <w:pPr>
        <w:pStyle w:val="Akapitzlist1"/>
        <w:tabs>
          <w:tab w:val="clear" w:pos="720"/>
          <w:tab w:val="left" w:pos="284" w:leader="none"/>
          <w:tab w:val="left" w:pos="709" w:leader="none"/>
        </w:tabs>
        <w:spacing w:lineRule="auto" w:line="276" w:before="60" w:after="60"/>
        <w:ind w:left="360" w:hanging="0"/>
        <w:contextualSpacing/>
        <w:jc w:val="center"/>
        <w:rPr>
          <w:rFonts w:ascii="Arial" w:hAnsi="Arial" w:cs="Arial"/>
          <w:b/>
          <w:b/>
          <w:iCs/>
          <w:sz w:val="24"/>
          <w:szCs w:val="24"/>
          <w:lang w:eastAsia="ar-SA"/>
        </w:rPr>
      </w:pPr>
      <w:r>
        <w:rPr>
          <w:rFonts w:cs="Arial" w:ascii="Arial" w:hAnsi="Arial"/>
          <w:b/>
          <w:iCs/>
          <w:sz w:val="24"/>
          <w:szCs w:val="24"/>
          <w:lang w:eastAsia="ar-SA"/>
        </w:rPr>
        <w:t>§ 11.</w:t>
      </w:r>
    </w:p>
    <w:p>
      <w:pPr>
        <w:pStyle w:val="Normal"/>
        <w:spacing w:lineRule="auto" w:line="276" w:before="60" w:after="60"/>
        <w:ind w:left="357" w:hanging="357"/>
        <w:jc w:val="center"/>
        <w:rPr>
          <w:rFonts w:ascii="Arial" w:hAnsi="Arial" w:cs="Arial"/>
          <w:color w:val="000000"/>
          <w:sz w:val="24"/>
          <w:szCs w:val="24"/>
        </w:rPr>
      </w:pPr>
      <w:r>
        <w:rPr>
          <w:rFonts w:cs="Arial" w:ascii="Arial" w:hAnsi="Arial"/>
          <w:b/>
          <w:iCs/>
          <w:sz w:val="24"/>
          <w:szCs w:val="24"/>
          <w:lang w:eastAsia="ar-SA"/>
        </w:rPr>
        <w:t>Zasady ustalania listy ocenianych operacji do realizacji w ramach dwuletniego planu operacyjnego</w:t>
      </w:r>
    </w:p>
    <w:p>
      <w:pPr>
        <w:pStyle w:val="Akapitzlist1"/>
        <w:numPr>
          <w:ilvl w:val="0"/>
          <w:numId w:val="21"/>
        </w:numPr>
        <w:spacing w:lineRule="auto" w:line="276" w:before="60" w:after="60"/>
        <w:ind w:left="426" w:hanging="426"/>
        <w:contextualSpacing/>
        <w:jc w:val="both"/>
        <w:rPr>
          <w:rFonts w:ascii="Arial" w:hAnsi="Arial" w:cs="Arial"/>
          <w:color w:val="000000"/>
          <w:sz w:val="24"/>
          <w:szCs w:val="24"/>
        </w:rPr>
      </w:pPr>
      <w:r>
        <w:rPr>
          <w:rFonts w:cs="Arial" w:ascii="Arial" w:hAnsi="Arial"/>
          <w:color w:val="000000"/>
          <w:sz w:val="24"/>
          <w:szCs w:val="24"/>
        </w:rPr>
        <w:t xml:space="preserve">Operacja może zostać wybrana do realizacji, gdy: </w:t>
      </w:r>
    </w:p>
    <w:p>
      <w:pPr>
        <w:pStyle w:val="Akapitzlist1"/>
        <w:numPr>
          <w:ilvl w:val="0"/>
          <w:numId w:val="22"/>
        </w:numPr>
        <w:spacing w:lineRule="auto" w:line="276" w:before="144" w:after="144"/>
        <w:ind w:left="1134" w:hanging="567"/>
        <w:contextualSpacing/>
        <w:jc w:val="both"/>
        <w:rPr>
          <w:rFonts w:ascii="Arial" w:hAnsi="Arial" w:cs="Arial"/>
          <w:color w:val="000000"/>
          <w:sz w:val="24"/>
          <w:szCs w:val="24"/>
        </w:rPr>
      </w:pPr>
      <w:r>
        <w:rPr>
          <w:rFonts w:cs="Arial" w:ascii="Arial" w:hAnsi="Arial"/>
          <w:color w:val="000000"/>
          <w:sz w:val="24"/>
          <w:szCs w:val="24"/>
        </w:rPr>
        <w:t xml:space="preserve">spełniła kryteria wyboru operacji i uzyskała wymaganą liczbę punktów oraz </w:t>
      </w:r>
    </w:p>
    <w:p>
      <w:pPr>
        <w:pStyle w:val="Akapitzlist1"/>
        <w:numPr>
          <w:ilvl w:val="0"/>
          <w:numId w:val="22"/>
        </w:numPr>
        <w:spacing w:before="0" w:after="0"/>
        <w:ind w:left="1134" w:hanging="567"/>
        <w:contextualSpacing/>
        <w:jc w:val="both"/>
        <w:rPr>
          <w:rFonts w:ascii="Arial" w:hAnsi="Arial" w:cs="Arial"/>
          <w:sz w:val="24"/>
          <w:szCs w:val="24"/>
          <w:lang w:eastAsia="ar-SA"/>
        </w:rPr>
      </w:pPr>
      <w:r>
        <w:rPr>
          <w:rFonts w:cs="Arial" w:ascii="Arial" w:hAnsi="Arial"/>
          <w:color w:val="000000"/>
          <w:sz w:val="24"/>
          <w:szCs w:val="24"/>
        </w:rPr>
        <w:t xml:space="preserve">dostępne są środki wystarczające na sfinansowanie realizacji operacji w ramach limitu wskazanego w ogłoszeniu o konkursie. </w:t>
      </w:r>
    </w:p>
    <w:p>
      <w:pPr>
        <w:pStyle w:val="Akapitzlist1"/>
        <w:numPr>
          <w:ilvl w:val="0"/>
          <w:numId w:val="21"/>
        </w:numPr>
        <w:spacing w:lineRule="auto" w:line="276" w:before="144" w:after="144"/>
        <w:ind w:left="502" w:hanging="502"/>
        <w:contextualSpacing/>
        <w:jc w:val="both"/>
        <w:rPr>
          <w:rFonts w:ascii="Arial" w:hAnsi="Arial" w:cs="Arial"/>
          <w:sz w:val="24"/>
          <w:szCs w:val="24"/>
          <w:lang w:eastAsia="ar-SA"/>
        </w:rPr>
      </w:pPr>
      <w:r>
        <w:rPr>
          <w:rFonts w:cs="Arial" w:ascii="Arial" w:hAnsi="Arial"/>
          <w:sz w:val="24"/>
          <w:szCs w:val="24"/>
          <w:lang w:eastAsia="ar-SA"/>
        </w:rPr>
        <w:t xml:space="preserve">Operacja może zostać wybrana do realizacji, gdy </w:t>
      </w:r>
      <w:r>
        <w:rPr>
          <w:rFonts w:cs="Arial" w:ascii="Arial" w:hAnsi="Arial"/>
          <w:bCs/>
          <w:sz w:val="24"/>
          <w:szCs w:val="24"/>
          <w:lang w:eastAsia="ar-SA"/>
        </w:rPr>
        <w:t xml:space="preserve">uzyskała co najmniej 4 punkty za kryteria określone w </w:t>
      </w:r>
      <w:r>
        <w:rPr>
          <w:rFonts w:cs="Arial" w:ascii="Arial" w:hAnsi="Arial"/>
          <w:sz w:val="24"/>
          <w:szCs w:val="24"/>
          <w:lang w:eastAsia="ar-SA"/>
        </w:rPr>
        <w:t xml:space="preserve">części III pkt 1-4 </w:t>
      </w:r>
      <w:r>
        <w:rPr>
          <w:rFonts w:cs="Arial" w:ascii="Arial" w:hAnsi="Arial"/>
          <w:iCs/>
          <w:sz w:val="24"/>
          <w:szCs w:val="24"/>
          <w:lang w:eastAsia="ar-SA"/>
        </w:rPr>
        <w:t>Przewodnika po ocenie wniosku. O wyborze decyduje kolejność na liście ocenionych operacji.</w:t>
      </w:r>
    </w:p>
    <w:p>
      <w:pPr>
        <w:pStyle w:val="Akapitzlist1"/>
        <w:numPr>
          <w:ilvl w:val="0"/>
          <w:numId w:val="21"/>
        </w:numPr>
        <w:spacing w:lineRule="auto" w:line="276" w:before="60" w:after="60"/>
        <w:ind w:left="502" w:hanging="502"/>
        <w:contextualSpacing/>
        <w:jc w:val="both"/>
        <w:rPr>
          <w:rFonts w:ascii="Arial" w:hAnsi="Arial" w:cs="Arial"/>
          <w:sz w:val="24"/>
          <w:szCs w:val="24"/>
          <w:lang w:eastAsia="ar-SA"/>
        </w:rPr>
      </w:pPr>
      <w:r>
        <w:rPr>
          <w:rFonts w:cs="Arial" w:ascii="Arial" w:hAnsi="Arial"/>
          <w:sz w:val="24"/>
          <w:szCs w:val="24"/>
          <w:lang w:eastAsia="ar-SA"/>
        </w:rPr>
        <w:t xml:space="preserve">Kolejność na liście jest ustalana w podziale na działania i w ramach każdego działania odrębnie, od operacji, która uzyskała największą liczbę punktów, do operacji, która uzyskała najmniejszą liczbę punktów w </w:t>
      </w:r>
      <w:r>
        <w:rPr>
          <w:rFonts w:eastAsia="Calibri" w:cs="Arial" w:ascii="Arial" w:hAnsi="Arial"/>
          <w:color w:val="00000A"/>
          <w:kern w:val="2"/>
          <w:sz w:val="24"/>
          <w:szCs w:val="24"/>
          <w:lang w:val="pl-PL" w:eastAsia="ar-SA" w:bidi="ar-SA"/>
        </w:rPr>
        <w:t>jednostce regionalnej</w:t>
      </w:r>
      <w:r>
        <w:rPr>
          <w:rFonts w:cs="Arial" w:ascii="Arial" w:hAnsi="Arial"/>
          <w:sz w:val="24"/>
          <w:szCs w:val="24"/>
          <w:lang w:eastAsia="ar-SA"/>
        </w:rPr>
        <w:t>, z którą zawiera się umowę na realizację operacji.</w:t>
      </w:r>
    </w:p>
    <w:p>
      <w:pPr>
        <w:pStyle w:val="Akapitzlist1"/>
        <w:numPr>
          <w:ilvl w:val="0"/>
          <w:numId w:val="21"/>
        </w:numPr>
        <w:spacing w:lineRule="auto" w:line="276" w:before="60" w:after="60"/>
        <w:ind w:left="502" w:hanging="502"/>
        <w:contextualSpacing/>
        <w:jc w:val="both"/>
        <w:rPr>
          <w:rFonts w:ascii="Arial" w:hAnsi="Arial" w:cs="Arial"/>
          <w:sz w:val="24"/>
          <w:szCs w:val="24"/>
          <w:lang w:eastAsia="ar-SA"/>
        </w:rPr>
      </w:pPr>
      <w:r>
        <w:rPr>
          <w:rFonts w:cs="Arial" w:ascii="Arial" w:hAnsi="Arial"/>
          <w:sz w:val="24"/>
          <w:szCs w:val="24"/>
          <w:lang w:eastAsia="ar-SA"/>
        </w:rPr>
        <w:t>W przypadku operacji, które uzyskały taką samą liczbę punktów, o kolejności wyboru decyduje otrzymanie punktów za kryterium określone w części III pkt 8 Przewodnika po ocenie wniosku, a gdyby to kryterium było spełnione przez więcej niż jedną operację – decyduje wyższy udział wkładu własnego w stosunku do zaplanowanych kosztów realizacji operacji ujętych w jej zestawieniu rzeczowo-finansowym, spełniających kryterium określone w części III pkt 4 tego Przewodnika.</w:t>
      </w:r>
    </w:p>
    <w:p>
      <w:pPr>
        <w:pStyle w:val="Akapitzlist1"/>
        <w:numPr>
          <w:ilvl w:val="0"/>
          <w:numId w:val="21"/>
        </w:numPr>
        <w:spacing w:lineRule="auto" w:line="276" w:before="60" w:after="60"/>
        <w:ind w:left="502" w:hanging="502"/>
        <w:contextualSpacing/>
        <w:jc w:val="both"/>
        <w:rPr>
          <w:rFonts w:ascii="Arial" w:hAnsi="Arial" w:cs="Arial"/>
        </w:rPr>
      </w:pPr>
      <w:r>
        <w:rPr>
          <w:rFonts w:cs="Arial" w:ascii="Arial" w:hAnsi="Arial"/>
          <w:sz w:val="24"/>
          <w:szCs w:val="24"/>
          <w:lang w:eastAsia="ar-SA"/>
        </w:rPr>
        <w:t>W przypadku operacji, które uzyskały taką samą liczbę punktów, a nie uzyskały punktów za kryterium, o którym mowa w części III pkt 8 Przewodnika po ocenie wniosku, albo uzyskały punkty za to kryterium, z tym że udział wkładu własnego w tych operacjach jest na takim samym poziomie, o kolejności wyboru decyduje wysokość zaplanowanych kosztów realizacji operacji ujętych w zestawieniu rzeczowo-finansowym, spełniających kryterium określone w części III pkt 4 tego Przewodnika, przy czym pierwszeństwo w wyborze ma operacja, której wysokość tych kosztów jest niższa.</w:t>
      </w:r>
    </w:p>
    <w:p>
      <w:pPr>
        <w:pStyle w:val="Akapitzlist1"/>
        <w:numPr>
          <w:ilvl w:val="0"/>
          <w:numId w:val="21"/>
        </w:numPr>
        <w:spacing w:lineRule="auto" w:line="276" w:before="60" w:after="60"/>
        <w:ind w:left="567" w:hanging="567"/>
        <w:contextualSpacing/>
        <w:jc w:val="both"/>
        <w:rPr>
          <w:rFonts w:ascii="Arial" w:hAnsi="Arial" w:cs="Arial"/>
        </w:rPr>
      </w:pPr>
      <w:r>
        <w:rPr>
          <w:rFonts w:cs="Arial" w:ascii="Arial" w:hAnsi="Arial"/>
          <w:sz w:val="24"/>
          <w:szCs w:val="24"/>
          <w:lang w:eastAsia="ar-SA"/>
        </w:rPr>
        <w:t>W przypadku operacji, w których wysokość zaplanowanych kosztów realizacji operacji ujętych w zestawieniu rzeczowo-finansowym, spełniających kryterium określone w części III pkt 4 Przewodnika po ocenie wniosku,</w:t>
      </w:r>
      <w:r>
        <w:rPr>
          <w:rFonts w:cs="Arial" w:ascii="Arial" w:hAnsi="Arial"/>
        </w:rPr>
        <w:t xml:space="preserve"> </w:t>
      </w:r>
      <w:r>
        <w:rPr>
          <w:rFonts w:cs="Arial" w:ascii="Arial" w:hAnsi="Arial"/>
          <w:sz w:val="24"/>
          <w:szCs w:val="24"/>
          <w:lang w:eastAsia="ar-SA"/>
        </w:rPr>
        <w:t>jest na takim samym poziomie, wybrane zostają wszystkie te operacje, jeżeli łączna wysokość tych kosztów mieści się w limicie środków dostępnych w danym jednostce regionalnej na działanie, w zakresie którego zostały złożone wnioski dotyczące tych operacji. W przypadku gdy łączna wysokość tych kosztów nie mieści się w limicie środków dostępnych w danym jednostce regionalnej na działanie, w zakresie którego zostały złożone wnioski dotyczące tych operacji, o kolejności wyboru decyduje otrzymanie punktów za kryterium określone w części III pkt 6 Przewodnika po ocenie wniosku, a gdyby to kryterium było spełnione przez więcej niż jedną operację – decyduje otrzymanie punktów za kryterium określone w części III pkt 5 tego Przewodnika, a gdyby i one było spełnione przez więcej niż jedną operację – decyduje otrzymanie punktów za kryterium określone w części III pkt 7 tego Przewodnika. Gdyby i to nie przyniosło rozstrzygnięcia, decyduje dzień złożenia wniosku. W przypadku gdy wnioski zostały złożone w tym samym dniu, żadna z operacji objętych tymi wnioskami nie zostaje wybrana.</w:t>
      </w:r>
    </w:p>
    <w:p>
      <w:pPr>
        <w:pStyle w:val="Akapitzlist1"/>
        <w:numPr>
          <w:ilvl w:val="0"/>
          <w:numId w:val="21"/>
        </w:numPr>
        <w:spacing w:lineRule="auto" w:line="276" w:before="60" w:after="60"/>
        <w:ind w:left="567" w:hanging="567"/>
        <w:contextualSpacing/>
        <w:jc w:val="both"/>
        <w:rPr>
          <w:rFonts w:ascii="Arial" w:hAnsi="Arial" w:cs="Arial"/>
          <w:sz w:val="24"/>
          <w:szCs w:val="24"/>
        </w:rPr>
      </w:pPr>
      <w:r>
        <w:rPr>
          <w:rFonts w:cs="Arial" w:ascii="Arial" w:hAnsi="Arial"/>
          <w:sz w:val="24"/>
          <w:szCs w:val="24"/>
        </w:rPr>
        <w:t>W przypadku gdy limit środków określony na działanie nie zostanie wykorzystany w całości, środki niewykorzystane mogą zostać przeznaczone przez właściwą jednostkę regionalną na operacje złożone do tej jednostki w ramach innych działań, przy czym środki te mogą być przenoszone z działań 3, 4, 6 i 9 do działań 10–13 wymienionych w § 4 ust. 1 pod warunkiem, że wszystkie operacje złożone w ramach działań 3, 4, 6 i 9, które uzyskały wymaganą liczbę punktów, zostały wybrane do realizacji i zostały zawarte umowy na ich realizację, a w przypadku gdy umowa nie została zawarta lub została rozwiązana - nie było możliwości przesunięcia środków na realizację innych operacji złożonych w ramach działań 3, 4, 6 i 9, w szczególności gdy partner KSOW nie zgodził się zrealizować operacji z obniżonymi kosztami kwalifikowalnymi .</w:t>
      </w:r>
    </w:p>
    <w:p>
      <w:pPr>
        <w:pStyle w:val="Akapitzlist1"/>
        <w:numPr>
          <w:ilvl w:val="0"/>
          <w:numId w:val="21"/>
        </w:numPr>
        <w:spacing w:lineRule="auto" w:line="276" w:before="60" w:after="60"/>
        <w:ind w:left="567" w:hanging="502"/>
        <w:contextualSpacing/>
        <w:jc w:val="both"/>
        <w:rPr>
          <w:rFonts w:ascii="Arial" w:hAnsi="Arial" w:cs="Arial"/>
          <w:szCs w:val="24"/>
        </w:rPr>
      </w:pPr>
      <w:r>
        <w:rPr>
          <w:rFonts w:cs="Arial" w:ascii="Arial" w:hAnsi="Arial"/>
          <w:sz w:val="24"/>
          <w:szCs w:val="24"/>
          <w:lang w:eastAsia="ar-SA"/>
        </w:rPr>
        <w:t>Negatywną</w:t>
      </w:r>
      <w:r>
        <w:rPr>
          <w:rFonts w:cs="Arial" w:ascii="Arial" w:hAnsi="Arial"/>
          <w:sz w:val="24"/>
          <w:szCs w:val="24"/>
        </w:rPr>
        <w:t xml:space="preserve"> oceną operacji pod względem spełnienia kryteriów wyboru operacji jest ocena, w wyniku której:</w:t>
      </w:r>
    </w:p>
    <w:p>
      <w:pPr>
        <w:pStyle w:val="ZUSTzmustartykuempunktem"/>
        <w:numPr>
          <w:ilvl w:val="0"/>
          <w:numId w:val="9"/>
        </w:numPr>
        <w:spacing w:lineRule="auto" w:line="276" w:before="60" w:after="60"/>
        <w:jc w:val="both"/>
        <w:rPr>
          <w:rFonts w:ascii="Arial" w:hAnsi="Arial"/>
          <w:szCs w:val="24"/>
        </w:rPr>
      </w:pPr>
      <w:r>
        <w:rPr>
          <w:rFonts w:ascii="Arial" w:hAnsi="Arial"/>
          <w:szCs w:val="24"/>
        </w:rPr>
        <w:t>operacja nie uzyskała wymaganej liczby punktów, na skutek czego nie może być wybrana;</w:t>
      </w:r>
    </w:p>
    <w:p>
      <w:pPr>
        <w:pStyle w:val="ZUSTzmustartykuempunktem"/>
        <w:numPr>
          <w:ilvl w:val="0"/>
          <w:numId w:val="9"/>
        </w:numPr>
        <w:spacing w:lineRule="auto" w:line="276" w:before="60" w:after="60"/>
        <w:jc w:val="both"/>
        <w:rPr>
          <w:rFonts w:ascii="Arial" w:hAnsi="Arial"/>
          <w:szCs w:val="24"/>
        </w:rPr>
      </w:pPr>
      <w:r>
        <w:rPr>
          <w:rFonts w:ascii="Arial" w:hAnsi="Arial"/>
          <w:szCs w:val="24"/>
        </w:rPr>
        <w:t xml:space="preserve">operacja uzyskała wymaganą liczbę punktów, lecz nie mieści się w limicie środków </w:t>
      </w:r>
      <w:r>
        <w:rPr>
          <w:rFonts w:ascii="Arial" w:hAnsi="Arial"/>
          <w:szCs w:val="24"/>
          <w:lang w:eastAsia="ar-SA"/>
        </w:rPr>
        <w:t xml:space="preserve">dostępnych </w:t>
      </w:r>
      <w:r>
        <w:rPr>
          <w:rFonts w:ascii="Arial" w:hAnsi="Arial"/>
          <w:szCs w:val="24"/>
        </w:rPr>
        <w:t xml:space="preserve">na realizacje operacji w ramach </w:t>
      </w:r>
      <w:r>
        <w:rPr>
          <w:rFonts w:ascii="Arial" w:hAnsi="Arial"/>
          <w:szCs w:val="24"/>
          <w:lang w:eastAsia="ar-SA"/>
        </w:rPr>
        <w:t>działania w jednostce regionalnej, po przeniesieniu niewykorzystanych środków z innych działań</w:t>
      </w:r>
      <w:r>
        <w:rPr>
          <w:rFonts w:ascii="Arial" w:hAnsi="Arial"/>
          <w:szCs w:val="24"/>
        </w:rPr>
        <w:t>.</w:t>
      </w:r>
    </w:p>
    <w:p>
      <w:pPr>
        <w:pStyle w:val="Akapitzlist1"/>
        <w:numPr>
          <w:ilvl w:val="0"/>
          <w:numId w:val="21"/>
        </w:numPr>
        <w:spacing w:lineRule="auto" w:line="276" w:before="60" w:after="60"/>
        <w:ind w:left="567" w:hanging="502"/>
        <w:contextualSpacing/>
        <w:jc w:val="both"/>
        <w:rPr>
          <w:rFonts w:ascii="Arial" w:hAnsi="Arial" w:cs="Arial"/>
          <w:szCs w:val="24"/>
          <w:lang w:eastAsia="ar-SA"/>
        </w:rPr>
      </w:pPr>
      <w:r>
        <w:rPr>
          <w:rFonts w:cs="Arial" w:ascii="Arial" w:hAnsi="Arial"/>
          <w:sz w:val="24"/>
          <w:szCs w:val="24"/>
          <w:lang w:eastAsia="ar-SA"/>
        </w:rPr>
        <w:t xml:space="preserve">W oparciu o ostateczną ocenę operacji </w:t>
      </w:r>
      <w:r>
        <w:rPr>
          <w:rFonts w:cs="Arial" w:ascii="Arial" w:hAnsi="Arial"/>
          <w:sz w:val="24"/>
          <w:szCs w:val="24"/>
        </w:rPr>
        <w:t>jednostka regionalna</w:t>
      </w:r>
      <w:r>
        <w:rPr>
          <w:rFonts w:cs="Arial" w:ascii="Arial" w:hAnsi="Arial"/>
          <w:sz w:val="24"/>
          <w:szCs w:val="24"/>
          <w:lang w:eastAsia="ar-SA"/>
        </w:rPr>
        <w:t xml:space="preserve"> sporządza listę ocenionych operacji zawierającą co najmniej następujące elementy: </w:t>
      </w:r>
    </w:p>
    <w:p>
      <w:pPr>
        <w:pStyle w:val="LITlitera"/>
        <w:numPr>
          <w:ilvl w:val="0"/>
          <w:numId w:val="30"/>
        </w:numPr>
        <w:spacing w:lineRule="auto" w:line="276" w:before="60" w:after="60"/>
        <w:contextualSpacing/>
        <w:rPr>
          <w:rFonts w:ascii="Arial" w:hAnsi="Arial" w:eastAsia="Calibri"/>
          <w:szCs w:val="24"/>
          <w:lang w:eastAsia="ar-SA"/>
        </w:rPr>
      </w:pPr>
      <w:r>
        <w:rPr>
          <w:rFonts w:eastAsia="Calibri" w:ascii="Arial" w:hAnsi="Arial"/>
          <w:szCs w:val="24"/>
          <w:lang w:eastAsia="ar-SA"/>
        </w:rPr>
        <w:t>numer konkursu, w ramach którego został złożony wniosek;</w:t>
      </w:r>
    </w:p>
    <w:p>
      <w:pPr>
        <w:pStyle w:val="LITlitera"/>
        <w:numPr>
          <w:ilvl w:val="0"/>
          <w:numId w:val="30"/>
        </w:numPr>
        <w:spacing w:lineRule="auto" w:line="276" w:before="60" w:after="60"/>
        <w:contextualSpacing/>
        <w:jc w:val="both"/>
        <w:rPr>
          <w:rFonts w:ascii="Arial" w:hAnsi="Arial" w:eastAsia="Calibri"/>
          <w:szCs w:val="24"/>
          <w:lang w:eastAsia="ar-SA"/>
        </w:rPr>
      </w:pPr>
      <w:r>
        <w:rPr>
          <w:rFonts w:eastAsia="Calibri" w:ascii="Arial" w:hAnsi="Arial"/>
          <w:szCs w:val="24"/>
          <w:lang w:eastAsia="ar-SA"/>
        </w:rPr>
        <w:t>nazwa jednostki regionalnej właściwej do dokonania wyboru operacji;</w:t>
      </w:r>
    </w:p>
    <w:p>
      <w:pPr>
        <w:pStyle w:val="LITlitera"/>
        <w:numPr>
          <w:ilvl w:val="0"/>
          <w:numId w:val="30"/>
        </w:numPr>
        <w:spacing w:lineRule="auto" w:line="276" w:before="60" w:after="60"/>
        <w:contextualSpacing/>
        <w:rPr>
          <w:rFonts w:ascii="Arial" w:hAnsi="Arial" w:eastAsia="Calibri"/>
          <w:szCs w:val="24"/>
          <w:lang w:eastAsia="ar-SA"/>
        </w:rPr>
      </w:pPr>
      <w:r>
        <w:rPr>
          <w:rFonts w:eastAsia="Calibri" w:ascii="Arial" w:hAnsi="Arial"/>
          <w:szCs w:val="24"/>
          <w:lang w:eastAsia="ar-SA"/>
        </w:rPr>
        <w:t>termin składania wniosków;</w:t>
      </w:r>
    </w:p>
    <w:p>
      <w:pPr>
        <w:pStyle w:val="LITlitera"/>
        <w:numPr>
          <w:ilvl w:val="0"/>
          <w:numId w:val="30"/>
        </w:numPr>
        <w:spacing w:lineRule="auto" w:line="276" w:before="60" w:after="60"/>
        <w:contextualSpacing/>
        <w:rPr>
          <w:rFonts w:ascii="Arial" w:hAnsi="Arial" w:eastAsia="Calibri"/>
          <w:szCs w:val="24"/>
          <w:lang w:eastAsia="ar-SA"/>
        </w:rPr>
      </w:pPr>
      <w:r>
        <w:rPr>
          <w:rFonts w:eastAsia="Calibri" w:ascii="Arial" w:hAnsi="Arial"/>
          <w:szCs w:val="24"/>
          <w:lang w:eastAsia="ar-SA"/>
        </w:rPr>
        <w:t>numer wniosku;</w:t>
      </w:r>
    </w:p>
    <w:p>
      <w:pPr>
        <w:pStyle w:val="LITlitera"/>
        <w:numPr>
          <w:ilvl w:val="0"/>
          <w:numId w:val="30"/>
        </w:numPr>
        <w:spacing w:lineRule="auto" w:line="276" w:before="60" w:after="60"/>
        <w:contextualSpacing/>
        <w:rPr>
          <w:rFonts w:ascii="Arial" w:hAnsi="Arial" w:eastAsia="Calibri"/>
          <w:szCs w:val="24"/>
          <w:lang w:eastAsia="ar-SA"/>
        </w:rPr>
      </w:pPr>
      <w:r>
        <w:rPr>
          <w:rFonts w:eastAsia="Calibri" w:ascii="Arial" w:hAnsi="Arial"/>
          <w:szCs w:val="24"/>
          <w:lang w:eastAsia="ar-SA"/>
        </w:rPr>
        <w:t xml:space="preserve">tytuł operacji; </w:t>
      </w:r>
    </w:p>
    <w:p>
      <w:pPr>
        <w:pStyle w:val="LITlitera"/>
        <w:numPr>
          <w:ilvl w:val="0"/>
          <w:numId w:val="30"/>
        </w:numPr>
        <w:spacing w:lineRule="auto" w:line="276" w:before="60" w:after="60"/>
        <w:contextualSpacing/>
        <w:rPr>
          <w:rFonts w:ascii="Arial" w:hAnsi="Arial" w:eastAsia="Calibri"/>
          <w:szCs w:val="24"/>
          <w:lang w:eastAsia="ar-SA"/>
        </w:rPr>
      </w:pPr>
      <w:r>
        <w:rPr>
          <w:rFonts w:eastAsia="Calibri" w:ascii="Arial" w:hAnsi="Arial"/>
          <w:szCs w:val="24"/>
          <w:lang w:eastAsia="ar-SA"/>
        </w:rPr>
        <w:t>nazwę partnera KSOW, który złożył wniosek;</w:t>
      </w:r>
    </w:p>
    <w:p>
      <w:pPr>
        <w:pStyle w:val="LITlitera"/>
        <w:numPr>
          <w:ilvl w:val="0"/>
          <w:numId w:val="30"/>
        </w:numPr>
        <w:spacing w:lineRule="auto" w:line="276" w:before="60" w:after="60"/>
        <w:contextualSpacing/>
        <w:rPr>
          <w:rFonts w:ascii="Arial" w:hAnsi="Arial"/>
        </w:rPr>
      </w:pPr>
      <w:r>
        <w:rPr>
          <w:rFonts w:eastAsia="Calibri" w:ascii="Arial" w:hAnsi="Arial"/>
          <w:szCs w:val="24"/>
          <w:lang w:eastAsia="ar-SA"/>
        </w:rPr>
        <w:t>liczbę uzyskanych punktów;</w:t>
      </w:r>
    </w:p>
    <w:p>
      <w:pPr>
        <w:pStyle w:val="LITlitera"/>
        <w:numPr>
          <w:ilvl w:val="0"/>
          <w:numId w:val="30"/>
        </w:numPr>
        <w:spacing w:lineRule="auto" w:line="276" w:before="60" w:after="60"/>
        <w:contextualSpacing/>
        <w:rPr>
          <w:rFonts w:ascii="Arial" w:hAnsi="Arial"/>
        </w:rPr>
      </w:pPr>
      <w:r>
        <w:rPr>
          <w:rFonts w:eastAsia="Calibri" w:ascii="Arial" w:hAnsi="Arial"/>
          <w:szCs w:val="24"/>
          <w:lang w:eastAsia="ar-SA"/>
        </w:rPr>
        <w:t>wysokość środków finansowych przyznanych na realizację operacji – jeżeli operacja została wybrana;</w:t>
      </w:r>
    </w:p>
    <w:p>
      <w:pPr>
        <w:pStyle w:val="LITlitera"/>
        <w:numPr>
          <w:ilvl w:val="0"/>
          <w:numId w:val="30"/>
        </w:numPr>
        <w:spacing w:lineRule="auto" w:line="276" w:before="60" w:after="60"/>
        <w:contextualSpacing/>
        <w:jc w:val="both"/>
        <w:rPr/>
      </w:pPr>
      <w:r>
        <w:rPr>
          <w:rFonts w:eastAsia="Calibri" w:ascii="Arial" w:hAnsi="Arial"/>
          <w:szCs w:val="24"/>
          <w:lang w:eastAsia="ar-SA"/>
        </w:rPr>
        <w:t xml:space="preserve"> </w:t>
      </w:r>
      <w:r>
        <w:rPr>
          <w:rFonts w:eastAsia="Calibri" w:ascii="Arial" w:hAnsi="Arial"/>
          <w:szCs w:val="24"/>
          <w:lang w:eastAsia="ar-SA"/>
        </w:rPr>
        <w:t>wskazanie, czy operacja mieści się w limicie środków dostępnych na działanie, w ramach którego została złożona, po uwzględnieniu środków przesuniętych z innych działań;</w:t>
      </w:r>
    </w:p>
    <w:p>
      <w:pPr>
        <w:pStyle w:val="LITlitera"/>
        <w:numPr>
          <w:ilvl w:val="0"/>
          <w:numId w:val="30"/>
        </w:numPr>
        <w:spacing w:lineRule="auto" w:line="276" w:before="60" w:after="60"/>
        <w:contextualSpacing/>
        <w:jc w:val="both"/>
        <w:rPr>
          <w:rFonts w:ascii="Arial" w:hAnsi="Arial" w:eastAsia="Calibri"/>
          <w:szCs w:val="24"/>
          <w:lang w:eastAsia="ar-SA"/>
        </w:rPr>
      </w:pPr>
      <w:r>
        <w:rPr>
          <w:rFonts w:eastAsia="Calibri" w:ascii="Arial" w:hAnsi="Arial"/>
          <w:szCs w:val="24"/>
          <w:lang w:eastAsia="ar-SA"/>
        </w:rPr>
        <w:t xml:space="preserve"> </w:t>
      </w:r>
      <w:r>
        <w:rPr>
          <w:rFonts w:eastAsia="Calibri" w:ascii="Arial" w:hAnsi="Arial"/>
          <w:szCs w:val="24"/>
          <w:lang w:eastAsia="ar-SA"/>
        </w:rPr>
        <w:t xml:space="preserve">wskazanie, czy operacja została wybrana. </w:t>
      </w:r>
    </w:p>
    <w:p>
      <w:pPr>
        <w:pStyle w:val="Akapitzlist1"/>
        <w:numPr>
          <w:ilvl w:val="0"/>
          <w:numId w:val="21"/>
        </w:numPr>
        <w:spacing w:lineRule="auto" w:line="276" w:before="60" w:after="60"/>
        <w:ind w:left="567" w:hanging="567"/>
        <w:contextualSpacing/>
        <w:jc w:val="both"/>
        <w:rPr>
          <w:rFonts w:ascii="Arial" w:hAnsi="Arial" w:cs="Arial"/>
          <w:iCs/>
          <w:sz w:val="24"/>
          <w:szCs w:val="24"/>
          <w:lang w:eastAsia="ar-SA"/>
        </w:rPr>
      </w:pPr>
      <w:r>
        <w:rPr>
          <w:rFonts w:cs="Arial" w:ascii="Arial" w:hAnsi="Arial"/>
          <w:sz w:val="24"/>
          <w:szCs w:val="24"/>
          <w:lang w:eastAsia="ar-SA"/>
        </w:rPr>
        <w:t xml:space="preserve">Operacje wymienione na liście, o której mowa w ust. 9, które uzyskały </w:t>
      </w:r>
      <w:r>
        <w:rPr>
          <w:rFonts w:cs="Arial" w:ascii="Arial" w:hAnsi="Arial"/>
          <w:bCs/>
          <w:sz w:val="24"/>
          <w:szCs w:val="24"/>
          <w:lang w:eastAsia="ar-SA"/>
        </w:rPr>
        <w:t xml:space="preserve">co najmniej 4 punkty za kryteria określone w </w:t>
      </w:r>
      <w:r>
        <w:rPr>
          <w:rFonts w:cs="Arial" w:ascii="Arial" w:hAnsi="Arial"/>
          <w:sz w:val="24"/>
          <w:szCs w:val="24"/>
          <w:lang w:eastAsia="ar-SA"/>
        </w:rPr>
        <w:t xml:space="preserve">części III pkt 1-4 </w:t>
      </w:r>
      <w:r>
        <w:rPr>
          <w:rFonts w:cs="Arial" w:ascii="Arial" w:hAnsi="Arial"/>
          <w:iCs/>
          <w:sz w:val="24"/>
          <w:szCs w:val="24"/>
          <w:lang w:eastAsia="ar-SA"/>
        </w:rPr>
        <w:t>Przewodnika po ocenie wniosku, lecz nie zmieściły się w limicie środków jakie pozostały po wyborze operacji, które zajęły wyższe miejsca na liście:</w:t>
      </w:r>
    </w:p>
    <w:p>
      <w:pPr>
        <w:pStyle w:val="Akapitzlist1"/>
        <w:numPr>
          <w:ilvl w:val="0"/>
          <w:numId w:val="1"/>
        </w:numPr>
        <w:spacing w:lineRule="auto" w:line="276" w:before="60" w:after="60"/>
        <w:contextualSpacing/>
        <w:jc w:val="both"/>
        <w:rPr>
          <w:rFonts w:ascii="Arial" w:hAnsi="Arial" w:cs="Arial"/>
          <w:iCs/>
          <w:sz w:val="24"/>
          <w:szCs w:val="24"/>
          <w:lang w:eastAsia="ar-SA"/>
        </w:rPr>
      </w:pPr>
      <w:r>
        <w:rPr>
          <w:rFonts w:cs="Arial" w:ascii="Arial" w:hAnsi="Arial"/>
          <w:iCs/>
          <w:sz w:val="24"/>
          <w:szCs w:val="24"/>
          <w:lang w:eastAsia="ar-SA"/>
        </w:rPr>
        <w:t>są wybierane do realizacji, jeżeli w wyniku nie zawarcia lub rozwiązania umowy na realizację innej operacji zwolnią się środki, które same lub razem z tymi, które pozostały w limicie, są wystarczające na pokrycie 100% kosztów kwalifikowalnych ustalonych po ocenie kryterium, o którym mowa w części III pkt 4 Przewodnika po ocenie wniosku;</w:t>
      </w:r>
    </w:p>
    <w:p>
      <w:pPr>
        <w:pStyle w:val="Akapitzlist1"/>
        <w:numPr>
          <w:ilvl w:val="0"/>
          <w:numId w:val="1"/>
        </w:numPr>
        <w:spacing w:lineRule="auto" w:line="276" w:before="60" w:after="60"/>
        <w:contextualSpacing/>
        <w:jc w:val="both"/>
        <w:rPr>
          <w:rFonts w:ascii="Arial" w:hAnsi="Arial" w:cs="Arial"/>
          <w:iCs/>
          <w:sz w:val="24"/>
          <w:szCs w:val="24"/>
          <w:lang w:eastAsia="ar-SA"/>
        </w:rPr>
      </w:pPr>
      <w:r>
        <w:rPr>
          <w:rFonts w:cs="Arial" w:ascii="Arial" w:hAnsi="Arial"/>
          <w:iCs/>
          <w:sz w:val="24"/>
          <w:szCs w:val="24"/>
          <w:lang w:eastAsia="ar-SA"/>
        </w:rPr>
        <w:t>mogą zostać wybrane do realizacji, jeżeli partner KSOW zgodzi się zrealizować operację za mniejsze środki, jakie pozostały po wyborze innych operacji lub zostały zwolnione w wyniku nie zawarcia lub rozwiązania umowy, a które nie wystarczają na pokrycie 100% kosztów, o których mowa w pkt 1.</w:t>
      </w:r>
    </w:p>
    <w:p>
      <w:pPr>
        <w:pStyle w:val="Akapitzlist1"/>
        <w:spacing w:lineRule="auto" w:line="276" w:before="60" w:after="60"/>
        <w:ind w:left="360" w:hanging="0"/>
        <w:contextualSpacing/>
        <w:jc w:val="both"/>
        <w:rPr>
          <w:rFonts w:ascii="Arial" w:hAnsi="Arial" w:cs="Arial"/>
          <w:iCs/>
          <w:sz w:val="24"/>
          <w:szCs w:val="24"/>
          <w:lang w:eastAsia="ar-SA"/>
        </w:rPr>
      </w:pPr>
      <w:r>
        <w:rPr>
          <w:rFonts w:cs="Arial" w:ascii="Arial" w:hAnsi="Arial"/>
          <w:iCs/>
          <w:sz w:val="24"/>
          <w:szCs w:val="24"/>
          <w:lang w:eastAsia="ar-SA"/>
        </w:rPr>
        <w:t>Po spełnieniu jednego z tych warunków umowy na realizację tych operacji są zawierane według kolejności tych operacji na liście.</w:t>
      </w:r>
    </w:p>
    <w:p>
      <w:pPr>
        <w:pStyle w:val="Akapitzlist1"/>
        <w:numPr>
          <w:ilvl w:val="0"/>
          <w:numId w:val="21"/>
        </w:numPr>
        <w:spacing w:lineRule="auto" w:line="276" w:before="60" w:after="60"/>
        <w:ind w:left="567" w:hanging="567"/>
        <w:contextualSpacing/>
        <w:jc w:val="both"/>
        <w:rPr>
          <w:rFonts w:ascii="Arial" w:hAnsi="Arial" w:cs="Arial"/>
          <w:sz w:val="24"/>
          <w:szCs w:val="24"/>
          <w:lang w:eastAsia="ar-SA"/>
        </w:rPr>
      </w:pPr>
      <w:r>
        <w:rPr>
          <w:rFonts w:cs="Arial" w:ascii="Arial" w:hAnsi="Arial"/>
          <w:sz w:val="24"/>
          <w:szCs w:val="24"/>
          <w:lang w:eastAsia="ar-SA"/>
        </w:rPr>
        <w:t xml:space="preserve">Jednostka regionalna ogłasza listę ocenionych operacji na swojej stronie internetowej oraz na Portalu regionalnym KSOW niezwłocznie po jej sporządzeniu. </w:t>
      </w:r>
    </w:p>
    <w:p>
      <w:pPr>
        <w:pStyle w:val="Akapitzlist1"/>
        <w:numPr>
          <w:ilvl w:val="0"/>
          <w:numId w:val="21"/>
        </w:numPr>
        <w:spacing w:lineRule="auto" w:line="276" w:before="60" w:after="60"/>
        <w:ind w:left="567" w:hanging="567"/>
        <w:contextualSpacing/>
        <w:jc w:val="both"/>
        <w:rPr>
          <w:rFonts w:ascii="Arial" w:hAnsi="Arial" w:cs="Arial"/>
          <w:sz w:val="24"/>
          <w:szCs w:val="24"/>
          <w:lang w:eastAsia="ar-SA"/>
        </w:rPr>
      </w:pPr>
      <w:r>
        <w:rPr>
          <w:rFonts w:cs="Arial" w:ascii="Arial" w:hAnsi="Arial"/>
          <w:sz w:val="24"/>
          <w:szCs w:val="24"/>
          <w:lang w:eastAsia="ar-SA"/>
        </w:rPr>
        <w:t xml:space="preserve">Po ogłoszeniu listy, o której mowa w ust. 11, Partner KSOW jest informowany przez jednostkę regionalną, w formie pisemnej, o wyniku wyboru operacji ze wskazaniem liczby punktów otrzymanych przez operację w ramach oceny poszczególnych kryteriów wyboru operacji oraz uzasadnienia tej oceny, a także, czy operacja została wybrana, a jeżeli została wybrana – również o wysokości środków finansowych przyznanych na realizację operacji. Jeżeli operacja nie została wybrana tylko dlatego, że </w:t>
      </w:r>
      <w:r>
        <w:rPr>
          <w:rFonts w:cs="Arial" w:ascii="Arial" w:hAnsi="Arial"/>
          <w:iCs/>
          <w:sz w:val="24"/>
          <w:szCs w:val="24"/>
          <w:lang w:eastAsia="ar-SA"/>
        </w:rPr>
        <w:t>nie zmieściła się w limicie środków jakie pozostały po wyborze operacji, które zajęły wyższe miejsca na liście</w:t>
      </w:r>
      <w:r>
        <w:rPr>
          <w:rFonts w:cs="Arial" w:ascii="Arial" w:hAnsi="Arial"/>
          <w:sz w:val="24"/>
          <w:szCs w:val="24"/>
          <w:lang w:eastAsia="ar-SA"/>
        </w:rPr>
        <w:t>, partner KSOW jest informowany o możliwości, o której mowa w ust. 10.</w:t>
      </w:r>
    </w:p>
    <w:p>
      <w:pPr>
        <w:pStyle w:val="Akapitzlist1"/>
        <w:numPr>
          <w:ilvl w:val="0"/>
          <w:numId w:val="21"/>
        </w:numPr>
        <w:spacing w:lineRule="auto" w:line="276" w:before="60" w:after="60"/>
        <w:ind w:left="567" w:hanging="567"/>
        <w:contextualSpacing/>
        <w:jc w:val="both"/>
        <w:rPr>
          <w:rFonts w:ascii="Arial" w:hAnsi="Arial" w:cs="Arial"/>
          <w:sz w:val="24"/>
          <w:szCs w:val="24"/>
          <w:lang w:eastAsia="ar-SA"/>
        </w:rPr>
      </w:pPr>
      <w:r>
        <w:rPr>
          <w:rFonts w:cs="Arial" w:ascii="Arial" w:hAnsi="Arial"/>
          <w:sz w:val="24"/>
          <w:szCs w:val="24"/>
          <w:lang w:eastAsia="ar-SA"/>
        </w:rPr>
        <w:t>W celu uzyskania zgody, o której mowa w ust. 10, jednostka regionalna wyznacza partnerowi KSOW, którego operacja jest pierwsza w kolejności, odpowiedni termin i formę wyrażenia zgody, z zastrzeżeniem, że w przypadku braku zgody w wyznaczonym terminie lub formie, możliwość realizacji operacji zostanie przedstawiona partnerowi KSOW, którego operacja zajęła następne miejsce w kolejności na liście. Zasada ta dotyczy każdej kolejnej operacji na liście ocenionych operacji.</w:t>
      </w:r>
    </w:p>
    <w:p>
      <w:pPr>
        <w:pStyle w:val="Akapitzlist1"/>
        <w:numPr>
          <w:ilvl w:val="0"/>
          <w:numId w:val="21"/>
        </w:numPr>
        <w:spacing w:lineRule="auto" w:line="276" w:before="60" w:after="60"/>
        <w:ind w:left="567" w:hanging="567"/>
        <w:contextualSpacing/>
        <w:jc w:val="both"/>
        <w:rPr>
          <w:rFonts w:ascii="Arial" w:hAnsi="Arial" w:cs="Arial"/>
          <w:sz w:val="24"/>
          <w:szCs w:val="24"/>
          <w:lang w:eastAsia="ar-SA"/>
        </w:rPr>
      </w:pPr>
      <w:r>
        <w:rPr>
          <w:rFonts w:cs="Arial" w:ascii="Arial" w:hAnsi="Arial"/>
          <w:sz w:val="24"/>
          <w:szCs w:val="24"/>
          <w:lang w:eastAsia="ar-SA"/>
        </w:rPr>
        <w:t xml:space="preserve">W przypadku gdy w wyniku nie zawarcia lub rozwiązania umowy na realizację operacji ilość dostępnych środków zostanie zwiększona do wysokości wystarczającej do realizacji operacji z listy ocenionych operacji bez zmniejszenia wysokości kosztów kwalifikowalnych, stosuje się </w:t>
      </w:r>
      <w:r>
        <w:rPr>
          <w:rFonts w:cs="Arial" w:ascii="Arial" w:hAnsi="Arial"/>
          <w:iCs/>
          <w:sz w:val="24"/>
          <w:szCs w:val="24"/>
          <w:lang w:eastAsia="ar-SA"/>
        </w:rPr>
        <w:t>§ 12 ust. 5.</w:t>
      </w:r>
    </w:p>
    <w:p>
      <w:pPr>
        <w:pStyle w:val="Akapitzlist1"/>
        <w:numPr>
          <w:ilvl w:val="0"/>
          <w:numId w:val="21"/>
        </w:numPr>
        <w:spacing w:lineRule="auto" w:line="276" w:before="60" w:after="60"/>
        <w:ind w:left="567" w:hanging="567"/>
        <w:contextualSpacing/>
        <w:jc w:val="both"/>
        <w:rPr>
          <w:rFonts w:ascii="Arial" w:hAnsi="Arial" w:cs="Arial"/>
          <w:b/>
          <w:b/>
          <w:iCs/>
          <w:sz w:val="24"/>
          <w:szCs w:val="24"/>
          <w:lang w:eastAsia="ar-SA"/>
        </w:rPr>
      </w:pPr>
      <w:r>
        <w:rPr>
          <w:rFonts w:cs="Arial" w:ascii="Arial" w:hAnsi="Arial"/>
          <w:sz w:val="24"/>
          <w:szCs w:val="24"/>
          <w:lang w:eastAsia="ar-SA"/>
        </w:rPr>
        <w:t xml:space="preserve">W przypadku operacji, która po ogłoszeniu listy ocenionych operacji nie została wybrana do realizacji, jednostka regionalna informuje partnera KSOW o zakończeniu oceny oraz jej wyniku. Powiadomienie zawiera informację o spełnieniu albo niespełnieniu kryteriów, ze wskazaniem, które kryteria zostały spełnione, a które nie, liczbę punktów otrzymanych przez operację wraz z uzasadnieniem oraz pouczenie o przysługującym prawie wniesienia do sądu administracyjnego skargi na zasadach i w trybie określonych dla aktów lub czynności, o których mowa w art. 3 § 2 pkt 4 ustawy z dnia 30 sierpnia 2002 r. - Prawo o postępowaniu przed sądami administracyjnymi, zgodnie z art. 57e ust 2. ustawy ROW, a w przypadku gdy operacja nie została wybrana tylko dlatego, że </w:t>
      </w:r>
      <w:r>
        <w:rPr>
          <w:rFonts w:cs="Arial" w:ascii="Arial" w:hAnsi="Arial"/>
          <w:iCs/>
          <w:sz w:val="24"/>
          <w:szCs w:val="24"/>
          <w:lang w:eastAsia="ar-SA"/>
        </w:rPr>
        <w:t xml:space="preserve">nie zmieściła się w limicie środków – </w:t>
      </w:r>
      <w:r>
        <w:rPr>
          <w:rFonts w:cs="Arial" w:ascii="Arial" w:hAnsi="Arial"/>
          <w:sz w:val="24"/>
          <w:szCs w:val="24"/>
          <w:lang w:eastAsia="ar-SA"/>
        </w:rPr>
        <w:t>o możliwości, o której mowa w ust. 10. W przypadku operacji, o której mowa w § 10 ust. 2, należy wyjaśnić z czego wynika brak punktów za pozostałe kryteria.</w:t>
      </w:r>
    </w:p>
    <w:p>
      <w:pPr>
        <w:pStyle w:val="Normal"/>
        <w:spacing w:lineRule="auto" w:line="276" w:before="60" w:after="60"/>
        <w:ind w:left="360" w:hanging="357"/>
        <w:jc w:val="center"/>
        <w:rPr>
          <w:rFonts w:ascii="Arial" w:hAnsi="Arial" w:cs="Arial"/>
          <w:b/>
          <w:b/>
          <w:iCs/>
          <w:sz w:val="24"/>
          <w:szCs w:val="24"/>
          <w:lang w:eastAsia="ar-SA"/>
        </w:rPr>
      </w:pPr>
      <w:r>
        <w:rPr>
          <w:rFonts w:cs="Arial" w:ascii="Arial" w:hAnsi="Arial"/>
          <w:b/>
          <w:iCs/>
          <w:sz w:val="24"/>
          <w:szCs w:val="24"/>
          <w:lang w:eastAsia="ar-SA"/>
        </w:rPr>
      </w:r>
    </w:p>
    <w:p>
      <w:pPr>
        <w:pStyle w:val="Normal"/>
        <w:spacing w:lineRule="auto" w:line="276" w:before="60" w:after="60"/>
        <w:ind w:left="360" w:hanging="357"/>
        <w:jc w:val="center"/>
        <w:rPr>
          <w:rFonts w:ascii="Arial" w:hAnsi="Arial" w:cs="Arial"/>
          <w:b/>
          <w:b/>
          <w:sz w:val="24"/>
          <w:szCs w:val="24"/>
          <w:lang w:eastAsia="ar-SA"/>
        </w:rPr>
      </w:pPr>
      <w:r>
        <w:rPr>
          <w:rFonts w:cs="Arial" w:ascii="Arial" w:hAnsi="Arial"/>
          <w:b/>
          <w:iCs/>
          <w:sz w:val="24"/>
          <w:szCs w:val="24"/>
          <w:lang w:eastAsia="ar-SA"/>
        </w:rPr>
        <w:t>§ 12.</w:t>
      </w:r>
    </w:p>
    <w:p>
      <w:pPr>
        <w:pStyle w:val="Normal"/>
        <w:spacing w:lineRule="auto" w:line="276" w:before="60" w:after="60"/>
        <w:jc w:val="center"/>
        <w:rPr>
          <w:rFonts w:ascii="Arial" w:hAnsi="Arial" w:cs="Arial"/>
          <w:sz w:val="24"/>
          <w:szCs w:val="24"/>
          <w:lang w:eastAsia="ar-SA"/>
        </w:rPr>
      </w:pPr>
      <w:r>
        <w:rPr>
          <w:rFonts w:cs="Arial" w:ascii="Arial" w:hAnsi="Arial"/>
          <w:b/>
          <w:sz w:val="24"/>
          <w:szCs w:val="24"/>
          <w:lang w:eastAsia="ar-SA"/>
        </w:rPr>
        <w:t>Warunki zawarcia umowy na realizację operacji</w:t>
      </w:r>
    </w:p>
    <w:p>
      <w:pPr>
        <w:pStyle w:val="Normal"/>
        <w:numPr>
          <w:ilvl w:val="0"/>
          <w:numId w:val="7"/>
        </w:numPr>
        <w:tabs>
          <w:tab w:val="clear" w:pos="720"/>
          <w:tab w:val="left" w:pos="567" w:leader="none"/>
          <w:tab w:val="left" w:pos="1136" w:leader="none"/>
        </w:tabs>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lang w:eastAsia="ar-SA"/>
        </w:rPr>
        <w:t>Zgodnie z art. 57g ust. 1 ustawy</w:t>
      </w:r>
      <w:r>
        <w:rPr>
          <w:rStyle w:val="Odwoanieprzypisudolnego1"/>
          <w:rFonts w:cs="Arial" w:ascii="Arial" w:hAnsi="Arial"/>
          <w:sz w:val="24"/>
          <w:szCs w:val="24"/>
          <w:lang w:eastAsia="ar-SA"/>
        </w:rPr>
        <w:t xml:space="preserve"> </w:t>
      </w:r>
      <w:r>
        <w:rPr>
          <w:rFonts w:cs="Arial" w:ascii="Arial" w:hAnsi="Arial"/>
          <w:sz w:val="24"/>
          <w:szCs w:val="24"/>
          <w:lang w:eastAsia="ar-SA"/>
        </w:rPr>
        <w:t xml:space="preserve">ROW, jednostka, która wybrała operację partnera KSOW, zawiera z nim umowę na realizację tej operacji, określającą co najmniej: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przedmiot operacji i termin jej realizacji;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szczegółowy zakres rzeczowo-finansowy operacji oraz sposób jej realizacji;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wysokość środków finansowych przeznaczonych na realizację operacji;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cel operacji oraz wskaźniki jego osiągnięcia;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zobowiązania do poddania się kontrolom prowadzonym przez tę jednostkę, agencję płatniczą oraz przedstawicieli Komisji Europejskiej i innych instytucji uprawnionych do przeprowadzenia kontroli;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warunki i tryb wypłaty środków finansowych z tytułu realizacji operacji; </w:t>
      </w:r>
    </w:p>
    <w:p>
      <w:pPr>
        <w:pStyle w:val="Normal"/>
        <w:numPr>
          <w:ilvl w:val="0"/>
          <w:numId w:val="12"/>
        </w:numPr>
        <w:tabs>
          <w:tab w:val="clear" w:pos="720"/>
          <w:tab w:val="left" w:pos="1136" w:leader="none"/>
        </w:tabs>
        <w:spacing w:lineRule="auto" w:line="276" w:before="60" w:after="60"/>
        <w:contextualSpacing/>
        <w:jc w:val="both"/>
        <w:rPr>
          <w:rFonts w:ascii="Arial" w:hAnsi="Arial" w:cs="Arial"/>
          <w:sz w:val="24"/>
          <w:szCs w:val="24"/>
          <w:lang w:eastAsia="ar-SA"/>
        </w:rPr>
      </w:pPr>
      <w:r>
        <w:rPr>
          <w:rFonts w:cs="Arial" w:ascii="Arial" w:hAnsi="Arial"/>
          <w:sz w:val="24"/>
          <w:szCs w:val="24"/>
          <w:lang w:eastAsia="ar-SA"/>
        </w:rPr>
        <w:t xml:space="preserve">warunki i tryb zwrotu środków finansowych otrzymanych z tytułu realizacji operacji; </w:t>
      </w:r>
    </w:p>
    <w:p>
      <w:pPr>
        <w:pStyle w:val="Normal"/>
        <w:numPr>
          <w:ilvl w:val="0"/>
          <w:numId w:val="12"/>
        </w:numPr>
        <w:tabs>
          <w:tab w:val="clear" w:pos="720"/>
          <w:tab w:val="left" w:pos="1136" w:leader="none"/>
        </w:tabs>
        <w:spacing w:lineRule="auto" w:line="276" w:before="60" w:after="60"/>
        <w:contextualSpacing/>
        <w:jc w:val="both"/>
        <w:rPr>
          <w:rFonts w:ascii="Arial" w:hAnsi="Arial" w:cs="Arial"/>
          <w:color w:val="000000"/>
          <w:sz w:val="24"/>
          <w:szCs w:val="24"/>
        </w:rPr>
      </w:pPr>
      <w:r>
        <w:rPr>
          <w:rFonts w:cs="Arial" w:ascii="Arial" w:hAnsi="Arial"/>
          <w:sz w:val="24"/>
          <w:szCs w:val="24"/>
          <w:lang w:eastAsia="ar-SA"/>
        </w:rPr>
        <w:t>warunki jej rozwiązania.</w:t>
      </w:r>
    </w:p>
    <w:p>
      <w:pPr>
        <w:pStyle w:val="Normal"/>
        <w:numPr>
          <w:ilvl w:val="0"/>
          <w:numId w:val="7"/>
        </w:numPr>
        <w:tabs>
          <w:tab w:val="clear" w:pos="720"/>
          <w:tab w:val="left" w:pos="426" w:leader="none"/>
          <w:tab w:val="left" w:pos="1136" w:leader="none"/>
        </w:tabs>
        <w:spacing w:lineRule="auto" w:line="276" w:before="60" w:after="60"/>
        <w:ind w:left="426" w:hanging="426"/>
        <w:contextualSpacing/>
        <w:jc w:val="both"/>
        <w:rPr>
          <w:rFonts w:ascii="Arial" w:hAnsi="Arial" w:cs="Arial"/>
          <w:sz w:val="24"/>
          <w:szCs w:val="24"/>
          <w:lang w:eastAsia="ar-SA"/>
        </w:rPr>
      </w:pPr>
      <w:r>
        <w:rPr>
          <w:rFonts w:cs="Arial" w:ascii="Arial" w:hAnsi="Arial"/>
          <w:color w:val="000000"/>
          <w:sz w:val="24"/>
          <w:szCs w:val="24"/>
        </w:rPr>
        <w:t xml:space="preserve">Umowę na realizację operacji z partnerem KSOW zawiera się na formularzu, stanowiącym załącznik do ogłoszenia o konkursie, udostępnionym </w:t>
      </w:r>
      <w:r>
        <w:rPr>
          <w:rFonts w:cs="Arial" w:ascii="Arial" w:hAnsi="Arial"/>
          <w:sz w:val="24"/>
          <w:szCs w:val="24"/>
        </w:rPr>
        <w:t>na Portalu KSOW, Portalu regionalnym KSOW, stronach internetowych MRiRW, i urzędów marszałkowskich.</w:t>
      </w:r>
    </w:p>
    <w:p>
      <w:pPr>
        <w:pStyle w:val="Normal"/>
        <w:numPr>
          <w:ilvl w:val="0"/>
          <w:numId w:val="7"/>
        </w:numPr>
        <w:tabs>
          <w:tab w:val="clear" w:pos="720"/>
          <w:tab w:val="left" w:pos="426" w:leader="none"/>
          <w:tab w:val="left" w:pos="1136" w:leader="none"/>
        </w:tabs>
        <w:spacing w:lineRule="auto" w:line="276" w:before="60" w:after="60"/>
        <w:ind w:left="426" w:hanging="426"/>
        <w:jc w:val="both"/>
        <w:rPr>
          <w:rFonts w:ascii="Arial" w:hAnsi="Arial" w:cs="Arial"/>
        </w:rPr>
      </w:pPr>
      <w:r>
        <w:rPr>
          <w:rFonts w:cs="Arial" w:ascii="Arial" w:hAnsi="Arial"/>
          <w:sz w:val="24"/>
          <w:szCs w:val="24"/>
          <w:lang w:eastAsia="ar-SA"/>
        </w:rPr>
        <w:t xml:space="preserve">Podmiotem właściwym do zawarcia z partnerem KSOW umowy na realizację operacji jest jednostka regionalna </w:t>
      </w:r>
      <w:r>
        <w:rPr>
          <w:rFonts w:cs="Arial" w:ascii="Arial" w:hAnsi="Arial"/>
          <w:sz w:val="24"/>
          <w:szCs w:val="24"/>
        </w:rPr>
        <w:t>lub podmiot, któremu  samorząd województwa powierzył wykonywanie zadań jednostki regionalnej.</w:t>
      </w:r>
    </w:p>
    <w:p>
      <w:pPr>
        <w:pStyle w:val="Normal"/>
        <w:numPr>
          <w:ilvl w:val="0"/>
          <w:numId w:val="7"/>
        </w:numPr>
        <w:tabs>
          <w:tab w:val="clear" w:pos="720"/>
          <w:tab w:val="left" w:pos="426" w:leader="none"/>
          <w:tab w:val="left" w:pos="1136" w:leader="none"/>
        </w:tabs>
        <w:spacing w:lineRule="auto" w:line="276" w:before="60" w:after="60"/>
        <w:ind w:left="426" w:hanging="426"/>
        <w:jc w:val="both"/>
        <w:rPr>
          <w:rFonts w:ascii="Arial" w:hAnsi="Arial" w:cs="Arial"/>
          <w:b/>
          <w:b/>
          <w:caps/>
          <w:sz w:val="24"/>
          <w:szCs w:val="24"/>
          <w:lang w:eastAsia="ar-SA"/>
        </w:rPr>
      </w:pPr>
      <w:r>
        <w:rPr>
          <w:rFonts w:eastAsia="Calibri" w:cs="Arial" w:ascii="Arial" w:hAnsi="Arial"/>
          <w:color w:val="00000A"/>
          <w:kern w:val="2"/>
          <w:sz w:val="24"/>
          <w:szCs w:val="24"/>
          <w:lang w:val="pl-PL" w:eastAsia="ar-SA" w:bidi="ar-SA"/>
        </w:rPr>
        <w:t>Jednostka regionalna</w:t>
      </w:r>
      <w:r>
        <w:rPr>
          <w:rFonts w:cs="Arial" w:ascii="Arial" w:hAnsi="Arial"/>
          <w:sz w:val="24"/>
          <w:szCs w:val="24"/>
          <w:lang w:eastAsia="ar-SA"/>
        </w:rPr>
        <w:t>, w terminie nie dłuższym niż 21 dni od dnia ogłoszenia listy ocenionych operacji, o którym mowa w § 11 ust. 11, zawiera umowę z partnerem KSOW.</w:t>
      </w:r>
    </w:p>
    <w:p>
      <w:pPr>
        <w:pStyle w:val="Normal"/>
        <w:numPr>
          <w:ilvl w:val="0"/>
          <w:numId w:val="7"/>
        </w:numPr>
        <w:tabs>
          <w:tab w:val="clear" w:pos="720"/>
          <w:tab w:val="left" w:pos="426" w:leader="none"/>
          <w:tab w:val="left" w:pos="1136" w:leader="none"/>
        </w:tabs>
        <w:spacing w:lineRule="auto" w:line="276" w:before="60" w:after="60"/>
        <w:ind w:left="426" w:hanging="426"/>
        <w:jc w:val="both"/>
        <w:rPr>
          <w:rFonts w:ascii="Arial" w:hAnsi="Arial" w:cs="Arial"/>
          <w:b/>
          <w:b/>
          <w:caps/>
          <w:sz w:val="24"/>
          <w:szCs w:val="24"/>
          <w:lang w:eastAsia="ar-SA"/>
        </w:rPr>
      </w:pPr>
      <w:r>
        <w:rPr>
          <w:rFonts w:cs="Arial" w:ascii="Arial" w:hAnsi="Arial"/>
          <w:sz w:val="24"/>
          <w:szCs w:val="24"/>
          <w:lang w:eastAsia="ar-SA"/>
        </w:rPr>
        <w:t xml:space="preserve">W przypadku nie zawarcia albo rozwiązania umowy, </w:t>
      </w:r>
      <w:r>
        <w:rPr>
          <w:rFonts w:eastAsia="Calibri" w:cs="Arial" w:ascii="Arial" w:hAnsi="Arial"/>
          <w:color w:val="00000A"/>
          <w:kern w:val="2"/>
          <w:sz w:val="24"/>
          <w:szCs w:val="24"/>
          <w:lang w:val="pl-PL" w:eastAsia="ar-SA" w:bidi="ar-SA"/>
        </w:rPr>
        <w:t>jednostka regionalna</w:t>
      </w:r>
      <w:r>
        <w:rPr>
          <w:rFonts w:cs="Arial" w:ascii="Arial" w:hAnsi="Arial"/>
          <w:iCs/>
          <w:sz w:val="24"/>
          <w:szCs w:val="24"/>
          <w:lang w:eastAsia="ar-SA"/>
        </w:rPr>
        <w:t xml:space="preserve"> </w:t>
      </w:r>
      <w:r>
        <w:rPr>
          <w:rFonts w:cs="Arial" w:ascii="Arial" w:hAnsi="Arial"/>
          <w:sz w:val="24"/>
          <w:szCs w:val="24"/>
          <w:lang w:eastAsia="ar-SA"/>
        </w:rPr>
        <w:t>wybiera do realizacji kolejną operację według uzyskanych punktów z listy ocenionych operacji</w:t>
      </w:r>
      <w:r>
        <w:rPr>
          <w:rFonts w:cs="Arial" w:ascii="Arial" w:hAnsi="Arial"/>
          <w:iCs/>
          <w:sz w:val="24"/>
          <w:szCs w:val="24"/>
          <w:lang w:eastAsia="ar-SA"/>
        </w:rPr>
        <w:t>, biorąc pod uwagę w szczególności termin jej realizacji oraz czas jaki pozostał do dnia wskazanego w ogłoszeniu o konkursie, jako dzień zakończenia realizacji wszystkich operacji w ramach konkursu, a także ilość dostępnych środków.</w:t>
      </w:r>
    </w:p>
    <w:p>
      <w:pPr>
        <w:pStyle w:val="Normal"/>
        <w:spacing w:lineRule="auto" w:line="276" w:before="60" w:after="60"/>
        <w:ind w:left="360" w:hanging="357"/>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ind w:left="360" w:hanging="357"/>
        <w:jc w:val="center"/>
        <w:rPr>
          <w:rFonts w:ascii="Arial" w:hAnsi="Arial" w:cs="Arial"/>
          <w:b/>
          <w:b/>
          <w:sz w:val="24"/>
          <w:szCs w:val="24"/>
          <w:lang w:eastAsia="ar-SA"/>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13.</w:t>
      </w:r>
    </w:p>
    <w:p>
      <w:pPr>
        <w:pStyle w:val="Normal"/>
        <w:spacing w:lineRule="auto" w:line="276" w:before="60" w:after="60"/>
        <w:ind w:left="360" w:hanging="357"/>
        <w:jc w:val="center"/>
        <w:rPr>
          <w:rFonts w:ascii="Arial" w:hAnsi="Arial" w:cs="Arial"/>
          <w:sz w:val="24"/>
          <w:szCs w:val="24"/>
        </w:rPr>
      </w:pPr>
      <w:r>
        <w:rPr>
          <w:rFonts w:cs="Arial" w:ascii="Arial" w:hAnsi="Arial"/>
          <w:b/>
          <w:sz w:val="24"/>
          <w:szCs w:val="24"/>
          <w:lang w:eastAsia="ar-SA"/>
        </w:rPr>
        <w:t>Skarga do sądu administracyjnego</w:t>
      </w:r>
    </w:p>
    <w:p>
      <w:pPr>
        <w:pStyle w:val="Akapitzlist1"/>
        <w:numPr>
          <w:ilvl w:val="2"/>
          <w:numId w:val="7"/>
        </w:numPr>
        <w:tabs>
          <w:tab w:val="clear" w:pos="720"/>
          <w:tab w:val="left" w:pos="390" w:leader="none"/>
          <w:tab w:val="left" w:pos="510" w:leader="none"/>
        </w:tabs>
        <w:spacing w:lineRule="auto" w:line="276" w:before="60" w:after="60"/>
        <w:ind w:left="426" w:hanging="426"/>
        <w:contextualSpacing/>
        <w:jc w:val="both"/>
        <w:rPr>
          <w:rFonts w:ascii="Arial" w:hAnsi="Arial" w:cs="Arial"/>
          <w:szCs w:val="24"/>
        </w:rPr>
      </w:pPr>
      <w:r>
        <w:rPr>
          <w:rFonts w:cs="Arial" w:ascii="Arial" w:hAnsi="Arial"/>
          <w:sz w:val="24"/>
          <w:szCs w:val="24"/>
        </w:rPr>
        <w:t>Partnerowi KSOW przysługuje prawo wniesienia do sądu administracyjnego skargi na zasadach i w trybie określonych dla aktów lub czynności, o których mowa w art. 3 § 2 pkt 4 ustawy z dnia 30 sierpnia 2002 r. – Prawo o postępowaniu przed sądami administracyjnymi, w przypadkach określonych art. 57d. ust. 8 oraz 57e. ust. 2 ustawy ROW, tj. gdy:</w:t>
      </w:r>
    </w:p>
    <w:p>
      <w:pPr>
        <w:pStyle w:val="Akapitzlist1"/>
        <w:numPr>
          <w:ilvl w:val="0"/>
          <w:numId w:val="24"/>
        </w:numPr>
        <w:tabs>
          <w:tab w:val="clear" w:pos="720"/>
          <w:tab w:val="left" w:pos="0" w:leader="none"/>
        </w:tabs>
        <w:spacing w:lineRule="auto" w:line="276" w:before="60" w:after="60"/>
        <w:contextualSpacing/>
        <w:jc w:val="both"/>
        <w:rPr>
          <w:rFonts w:ascii="Arial" w:hAnsi="Arial" w:cs="Arial"/>
          <w:sz w:val="24"/>
          <w:szCs w:val="24"/>
        </w:rPr>
      </w:pPr>
      <w:r>
        <w:rPr>
          <w:rFonts w:cs="Arial" w:ascii="Arial" w:hAnsi="Arial"/>
          <w:sz w:val="24"/>
          <w:szCs w:val="24"/>
        </w:rPr>
        <w:t>jednostka regionalna poinformował partnera KSOW, w formie pisemnej, o niespełnieniu warunków wyboru operacji, wskazując które z warunków nie zostały spełnione oraz uzasadnienie tego stwierdzenia;</w:t>
      </w:r>
    </w:p>
    <w:p>
      <w:pPr>
        <w:pStyle w:val="Akapitzlist1"/>
        <w:numPr>
          <w:ilvl w:val="0"/>
          <w:numId w:val="24"/>
        </w:numPr>
        <w:tabs>
          <w:tab w:val="clear" w:pos="720"/>
          <w:tab w:val="left" w:pos="0" w:leader="none"/>
        </w:tabs>
        <w:spacing w:lineRule="auto" w:line="276" w:before="60" w:after="60"/>
        <w:contextualSpacing/>
        <w:jc w:val="both"/>
        <w:rPr>
          <w:rFonts w:ascii="Arial" w:hAnsi="Arial" w:cs="Arial"/>
          <w:sz w:val="24"/>
          <w:szCs w:val="24"/>
        </w:rPr>
      </w:pPr>
      <w:r>
        <w:rPr>
          <w:rFonts w:cs="Arial" w:ascii="Arial" w:hAnsi="Arial"/>
          <w:sz w:val="24"/>
          <w:szCs w:val="24"/>
        </w:rPr>
        <w:t xml:space="preserve">jednostka regionalna poinformował partnera KSOW, w formie pisemnej, że jego operacja otrzymała negatywną ocenę pod względem spełnienia kryteriów wyboru operacji i w związku z tym nie została wybrana. </w:t>
      </w:r>
    </w:p>
    <w:p>
      <w:pPr>
        <w:pStyle w:val="Akapitzlist1"/>
        <w:numPr>
          <w:ilvl w:val="2"/>
          <w:numId w:val="7"/>
        </w:numPr>
        <w:tabs>
          <w:tab w:val="clear" w:pos="720"/>
          <w:tab w:val="left" w:pos="450" w:leader="none"/>
        </w:tabs>
        <w:spacing w:lineRule="auto" w:line="276" w:before="60" w:after="60"/>
        <w:ind w:left="426" w:hanging="426"/>
        <w:contextualSpacing/>
        <w:jc w:val="both"/>
        <w:rPr>
          <w:rFonts w:ascii="Arial" w:hAnsi="Arial" w:cs="Arial"/>
          <w:szCs w:val="24"/>
        </w:rPr>
      </w:pPr>
      <w:r>
        <w:rPr>
          <w:rFonts w:cs="Arial" w:ascii="Arial" w:hAnsi="Arial"/>
          <w:sz w:val="24"/>
          <w:szCs w:val="24"/>
        </w:rPr>
        <w:t>Negatywną oceną operacji pod względem spełnienia kryteriów wyboru operacji jest ocena, w wyniku której:</w:t>
      </w:r>
    </w:p>
    <w:p>
      <w:pPr>
        <w:pStyle w:val="Akapitzlist1"/>
        <w:numPr>
          <w:ilvl w:val="0"/>
          <w:numId w:val="31"/>
        </w:numPr>
        <w:tabs>
          <w:tab w:val="clear" w:pos="720"/>
          <w:tab w:val="left" w:pos="0" w:leader="none"/>
        </w:tabs>
        <w:spacing w:lineRule="auto" w:line="276" w:before="60" w:after="60"/>
        <w:contextualSpacing/>
        <w:jc w:val="both"/>
        <w:rPr>
          <w:rFonts w:ascii="Arial" w:hAnsi="Arial"/>
          <w:szCs w:val="24"/>
        </w:rPr>
      </w:pPr>
      <w:r>
        <w:rPr>
          <w:rFonts w:cs="Arial" w:ascii="Arial" w:hAnsi="Arial"/>
          <w:sz w:val="24"/>
          <w:szCs w:val="24"/>
        </w:rPr>
        <w:t>operacja nie uzyskała wymaganej liczby punktów, na skutek czego nie może być wybrana;</w:t>
      </w:r>
    </w:p>
    <w:p>
      <w:pPr>
        <w:pStyle w:val="Akapitzlist1"/>
        <w:numPr>
          <w:ilvl w:val="0"/>
          <w:numId w:val="31"/>
        </w:numPr>
        <w:tabs>
          <w:tab w:val="clear" w:pos="720"/>
          <w:tab w:val="left" w:pos="0" w:leader="none"/>
        </w:tabs>
        <w:spacing w:lineRule="auto" w:line="276" w:before="60" w:after="60"/>
        <w:contextualSpacing/>
        <w:jc w:val="both"/>
        <w:rPr>
          <w:rFonts w:ascii="Arial" w:hAnsi="Arial"/>
          <w:szCs w:val="24"/>
        </w:rPr>
      </w:pPr>
      <w:r>
        <w:rPr>
          <w:rFonts w:cs="Arial" w:ascii="Arial" w:hAnsi="Arial"/>
          <w:sz w:val="24"/>
          <w:szCs w:val="24"/>
        </w:rPr>
        <w:t>operacja uzyskała wymaganą liczbę punktów, lecz nie mieści się w limicie środków dostępnych na realizacje operacji w ramach działania w jednostce regionalnej, po przeniesieniu niewykorzystanych środków z innych działań.</w:t>
      </w:r>
    </w:p>
    <w:p>
      <w:pPr>
        <w:pStyle w:val="Akapitzlist1"/>
        <w:numPr>
          <w:ilvl w:val="2"/>
          <w:numId w:val="7"/>
        </w:numPr>
        <w:tabs>
          <w:tab w:val="clear" w:pos="720"/>
          <w:tab w:val="left" w:pos="390" w:leader="none"/>
        </w:tabs>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rPr>
        <w:t>W przypadku gdy operacja nie mieści się w limicie środków przewidzianych na realizacje operacji w ramach działania w jednostce regionalnej, w zakresie których złożono wniosek, okoliczność ta nie może stanowić wyłącznej przesłanki skorzystania z prawa wniesienia skargi do sądu administracyjnego.</w:t>
      </w:r>
    </w:p>
    <w:p>
      <w:pPr>
        <w:pStyle w:val="Akapitzlist1"/>
        <w:numPr>
          <w:ilvl w:val="2"/>
          <w:numId w:val="7"/>
        </w:numPr>
        <w:tabs>
          <w:tab w:val="clear" w:pos="720"/>
          <w:tab w:val="left" w:pos="390" w:leader="none"/>
        </w:tabs>
        <w:spacing w:lineRule="auto" w:line="276" w:before="60" w:after="60"/>
        <w:ind w:left="426" w:hanging="426"/>
        <w:contextualSpacing/>
        <w:jc w:val="both"/>
        <w:rPr>
          <w:rFonts w:ascii="Arial" w:hAnsi="Arial" w:cs="Arial"/>
          <w:sz w:val="24"/>
          <w:szCs w:val="24"/>
          <w:lang w:eastAsia="ar-SA"/>
        </w:rPr>
      </w:pPr>
      <w:r>
        <w:rPr>
          <w:rFonts w:cs="Arial" w:ascii="Arial" w:hAnsi="Arial"/>
          <w:sz w:val="24"/>
          <w:szCs w:val="24"/>
        </w:rPr>
        <w:t>Szczegółowe zasady i tryb składania skarg do sądu administracyjnego określają przepisy ustawy z dnia 30 sierpnia 2002 r. – Prawo o postępowaniu przed sądami administracyjnym (Dz. U. z 2019 r. poz. 2325).</w:t>
      </w:r>
    </w:p>
    <w:p>
      <w:pPr>
        <w:pStyle w:val="Normal"/>
        <w:spacing w:lineRule="auto" w:line="276" w:before="60" w:after="60"/>
        <w:ind w:left="360" w:hanging="357"/>
        <w:jc w:val="center"/>
        <w:rPr>
          <w:rFonts w:ascii="Arial" w:hAnsi="Arial" w:cs="Arial"/>
          <w:b/>
          <w:b/>
          <w:caps/>
          <w:sz w:val="24"/>
          <w:szCs w:val="24"/>
          <w:lang w:eastAsia="ar-SA"/>
        </w:rPr>
      </w:pPr>
      <w:r>
        <w:rPr>
          <w:rFonts w:cs="Arial" w:ascii="Arial" w:hAnsi="Arial"/>
          <w:b/>
          <w:caps/>
          <w:sz w:val="24"/>
          <w:szCs w:val="24"/>
          <w:lang w:eastAsia="ar-SA"/>
        </w:rPr>
      </w:r>
    </w:p>
    <w:p>
      <w:pPr>
        <w:pStyle w:val="Normal"/>
        <w:spacing w:lineRule="auto" w:line="276" w:before="60" w:after="60"/>
        <w:ind w:left="360" w:hanging="357"/>
        <w:jc w:val="center"/>
        <w:rPr>
          <w:rFonts w:ascii="Arial" w:hAnsi="Arial" w:cs="Arial"/>
          <w:b/>
          <w:b/>
          <w:sz w:val="24"/>
          <w:szCs w:val="24"/>
          <w:lang w:eastAsia="ar-SA"/>
        </w:rPr>
      </w:pPr>
      <w:r>
        <w:rPr>
          <w:rFonts w:cs="Arial" w:ascii="Arial" w:hAnsi="Arial"/>
          <w:b/>
          <w:caps/>
          <w:sz w:val="24"/>
          <w:szCs w:val="24"/>
          <w:lang w:eastAsia="ar-SA"/>
        </w:rPr>
        <w:t>§</w:t>
      </w:r>
      <w:r>
        <w:rPr>
          <w:rFonts w:cs="Arial" w:ascii="Arial" w:hAnsi="Arial"/>
          <w:bCs/>
          <w:caps/>
          <w:sz w:val="24"/>
          <w:szCs w:val="24"/>
          <w:lang w:eastAsia="ar-SA"/>
        </w:rPr>
        <w:t xml:space="preserve"> </w:t>
      </w:r>
      <w:r>
        <w:rPr>
          <w:rFonts w:cs="Arial" w:ascii="Arial" w:hAnsi="Arial"/>
          <w:b/>
          <w:bCs/>
          <w:sz w:val="24"/>
          <w:szCs w:val="24"/>
          <w:lang w:eastAsia="ar-SA"/>
        </w:rPr>
        <w:t>14</w:t>
      </w:r>
    </w:p>
    <w:p>
      <w:pPr>
        <w:pStyle w:val="Normal"/>
        <w:spacing w:lineRule="auto" w:line="276" w:before="60" w:after="60"/>
        <w:jc w:val="center"/>
        <w:rPr>
          <w:rFonts w:ascii="Arial" w:hAnsi="Arial" w:cs="Arial"/>
          <w:sz w:val="24"/>
          <w:szCs w:val="24"/>
        </w:rPr>
      </w:pPr>
      <w:r>
        <w:rPr>
          <w:rFonts w:cs="Arial" w:ascii="Arial" w:hAnsi="Arial"/>
          <w:b/>
          <w:sz w:val="24"/>
          <w:szCs w:val="24"/>
          <w:lang w:eastAsia="ar-SA"/>
        </w:rPr>
        <w:t>Postanowienia końcowe</w:t>
      </w:r>
    </w:p>
    <w:p>
      <w:pPr>
        <w:pStyle w:val="Akapitzlist1"/>
        <w:tabs>
          <w:tab w:val="clear" w:pos="720"/>
          <w:tab w:val="left" w:pos="0" w:leader="none"/>
        </w:tabs>
        <w:spacing w:lineRule="auto" w:line="276" w:before="60" w:after="60"/>
        <w:ind w:left="426" w:hanging="66"/>
        <w:contextualSpacing/>
        <w:jc w:val="both"/>
        <w:rPr>
          <w:rFonts w:ascii="Arial" w:hAnsi="Arial" w:cs="Arial"/>
          <w:b/>
          <w:b/>
          <w:caps/>
          <w:sz w:val="24"/>
          <w:szCs w:val="24"/>
          <w:lang w:eastAsia="ar-SA"/>
        </w:rPr>
      </w:pPr>
      <w:r>
        <w:rPr>
          <w:rFonts w:cs="Arial" w:ascii="Arial" w:hAnsi="Arial"/>
          <w:b/>
          <w:caps/>
          <w:sz w:val="24"/>
          <w:szCs w:val="24"/>
          <w:lang w:eastAsia="ar-SA"/>
        </w:rPr>
      </w:r>
    </w:p>
    <w:p>
      <w:pPr>
        <w:pStyle w:val="Akapitzlist1"/>
        <w:numPr>
          <w:ilvl w:val="2"/>
          <w:numId w:val="32"/>
        </w:numPr>
        <w:tabs>
          <w:tab w:val="clear" w:pos="720"/>
          <w:tab w:val="left" w:pos="0" w:leader="none"/>
          <w:tab w:val="left" w:pos="426" w:leader="none"/>
        </w:tabs>
        <w:spacing w:lineRule="auto" w:line="276" w:before="60" w:after="60"/>
        <w:ind w:left="426" w:hanging="426"/>
        <w:contextualSpacing/>
        <w:jc w:val="both"/>
        <w:rPr>
          <w:rFonts w:ascii="Arial" w:hAnsi="Arial" w:cs="Arial"/>
          <w:sz w:val="24"/>
          <w:szCs w:val="24"/>
        </w:rPr>
      </w:pPr>
      <w:r>
        <w:rPr>
          <w:rFonts w:cs="Arial" w:ascii="Arial" w:hAnsi="Arial"/>
          <w:sz w:val="24"/>
          <w:szCs w:val="24"/>
        </w:rPr>
        <w:t>Regulamin konkursu może ulegać zmianom w trakcie trwania konkursu. Do czasu rozstrzygnięcia konkursu Regulamin nie może być zmieniany w sposób skutkujący nierównym traktowaniem partnerów KSOW, chyba, że konieczność jego zmiany wynika z odrębnych przepisów, z tym że zmiany te nie mogą mieć negatywnego wpływu na rozpatrzenie wniosku złożonego przed ich wprowadzeniem.</w:t>
      </w:r>
    </w:p>
    <w:p>
      <w:pPr>
        <w:pStyle w:val="Akapitzlist1"/>
        <w:numPr>
          <w:ilvl w:val="2"/>
          <w:numId w:val="32"/>
        </w:numPr>
        <w:tabs>
          <w:tab w:val="clear" w:pos="720"/>
          <w:tab w:val="left" w:pos="0" w:leader="none"/>
          <w:tab w:val="left" w:pos="426" w:leader="none"/>
        </w:tabs>
        <w:spacing w:lineRule="auto" w:line="276" w:before="60" w:after="60"/>
        <w:ind w:left="426" w:hanging="426"/>
        <w:contextualSpacing/>
        <w:jc w:val="both"/>
        <w:rPr>
          <w:rFonts w:ascii="Arial" w:hAnsi="Arial" w:cs="Arial"/>
          <w:sz w:val="24"/>
          <w:szCs w:val="24"/>
        </w:rPr>
      </w:pPr>
      <w:r>
        <w:rPr>
          <w:rFonts w:cs="Arial" w:ascii="Arial" w:hAnsi="Arial"/>
          <w:sz w:val="24"/>
          <w:szCs w:val="24"/>
        </w:rPr>
        <w:t>W przypadku zmiany Regulaminu konkursu, 1) która może mieć wpływ na przygotowanie wniosku o wybór operacji, termin na złożenie tego wniosku ulega odpowiedniemu wydłużeniu, a 2) informację w tej sprawie niezwłocznie podaje się do publicznej wiadomości na stronach internetowych, na których uprzednio został zamieszczony Regulamin, wraz z uzasadnieniem wprowadzonej zmiany i terminem od kiedy obowiązuje.</w:t>
      </w:r>
    </w:p>
    <w:p>
      <w:pPr>
        <w:pStyle w:val="Akapitzlist1"/>
        <w:numPr>
          <w:ilvl w:val="2"/>
          <w:numId w:val="32"/>
        </w:numPr>
        <w:tabs>
          <w:tab w:val="clear" w:pos="720"/>
          <w:tab w:val="left" w:pos="0" w:leader="none"/>
          <w:tab w:val="left" w:pos="426" w:leader="none"/>
        </w:tabs>
        <w:spacing w:lineRule="auto" w:line="276" w:before="60" w:after="60"/>
        <w:ind w:left="426" w:hanging="426"/>
        <w:contextualSpacing/>
        <w:jc w:val="both"/>
        <w:rPr>
          <w:rFonts w:ascii="Arial" w:hAnsi="Arial" w:cs="Arial"/>
          <w:sz w:val="24"/>
          <w:szCs w:val="24"/>
        </w:rPr>
      </w:pPr>
      <w:r>
        <w:rPr>
          <w:rFonts w:cs="Arial" w:ascii="Arial" w:hAnsi="Arial"/>
          <w:sz w:val="24"/>
          <w:szCs w:val="24"/>
        </w:rPr>
        <w:t>Konkurs może zostać anulowany z podaniem przyczyny.</w:t>
      </w:r>
    </w:p>
    <w:p>
      <w:pPr>
        <w:pStyle w:val="Normal"/>
        <w:spacing w:lineRule="auto" w:line="276" w:before="60" w:after="60"/>
        <w:ind w:left="0" w:hanging="0"/>
        <w:jc w:val="both"/>
        <w:rPr>
          <w:rFonts w:ascii="Arial" w:hAnsi="Arial" w:cs="Arial"/>
          <w:b/>
          <w:b/>
          <w:sz w:val="24"/>
          <w:szCs w:val="24"/>
        </w:rPr>
      </w:pPr>
      <w:r>
        <w:rPr>
          <w:rFonts w:cs="Arial" w:ascii="Arial" w:hAnsi="Arial"/>
          <w:b/>
          <w:sz w:val="24"/>
          <w:szCs w:val="24"/>
        </w:rPr>
      </w:r>
      <w:bookmarkStart w:id="1" w:name="_Toc437609566"/>
      <w:bookmarkStart w:id="2" w:name="_Toc437609566"/>
      <w:bookmarkEnd w:id="2"/>
    </w:p>
    <w:p>
      <w:pPr>
        <w:pStyle w:val="Normal"/>
        <w:spacing w:lineRule="auto" w:line="276" w:before="60" w:after="60"/>
        <w:ind w:left="641" w:hanging="215"/>
        <w:jc w:val="both"/>
        <w:rPr>
          <w:rFonts w:ascii="Arial" w:hAnsi="Arial" w:cs="Arial"/>
          <w:i/>
          <w:i/>
          <w:sz w:val="24"/>
          <w:szCs w:val="24"/>
          <w:lang w:eastAsia="ar-SA"/>
        </w:rPr>
      </w:pPr>
      <w:r>
        <w:rPr>
          <w:rFonts w:cs="Arial" w:ascii="Arial" w:hAnsi="Arial"/>
          <w:b/>
          <w:sz w:val="24"/>
          <w:szCs w:val="24"/>
        </w:rPr>
        <w:t>Załącznik</w:t>
      </w:r>
      <w:r>
        <w:rPr>
          <w:rFonts w:cs="Arial" w:ascii="Arial" w:hAnsi="Arial"/>
          <w:sz w:val="24"/>
          <w:szCs w:val="24"/>
        </w:rPr>
        <w:tab/>
        <w:tab/>
        <w:tab/>
        <w:tab/>
        <w:tab/>
        <w:tab/>
        <w:tab/>
        <w:tab/>
        <w:tab/>
      </w:r>
    </w:p>
    <w:p>
      <w:pPr>
        <w:pStyle w:val="Normal"/>
        <w:spacing w:lineRule="auto" w:line="276" w:before="60" w:after="60"/>
        <w:ind w:left="426" w:hanging="0"/>
        <w:jc w:val="both"/>
        <w:rPr>
          <w:rFonts w:ascii="Arial" w:hAnsi="Arial" w:cs="Arial"/>
          <w:sz w:val="24"/>
          <w:szCs w:val="24"/>
        </w:rPr>
      </w:pPr>
      <w:r>
        <w:rPr>
          <w:rFonts w:cs="Arial" w:ascii="Arial" w:hAnsi="Arial"/>
          <w:sz w:val="24"/>
          <w:szCs w:val="24"/>
          <w:lang w:eastAsia="ar-SA"/>
        </w:rPr>
        <w:t>„</w:t>
      </w:r>
      <w:r>
        <w:rPr>
          <w:rFonts w:cs="Arial" w:ascii="Arial" w:hAnsi="Arial"/>
          <w:sz w:val="24"/>
          <w:szCs w:val="24"/>
          <w:lang w:eastAsia="ar-SA"/>
        </w:rPr>
        <w:t>Przewodnik po ocenie wniosku.</w:t>
      </w:r>
      <w:r>
        <w:rPr>
          <w:rFonts w:cs="Arial" w:ascii="Arial" w:hAnsi="Arial"/>
          <w:sz w:val="24"/>
          <w:szCs w:val="24"/>
        </w:rPr>
        <w:t xml:space="preserve"> Zasady oceny wniosku i operacji pod względem </w:t>
      </w:r>
    </w:p>
    <w:p>
      <w:pPr>
        <w:pStyle w:val="Normal"/>
        <w:spacing w:lineRule="auto" w:line="276" w:before="60" w:after="60"/>
        <w:ind w:left="426" w:hanging="0"/>
        <w:jc w:val="both"/>
        <w:rPr>
          <w:rFonts w:ascii="Arial" w:hAnsi="Arial" w:cs="Arial"/>
          <w:sz w:val="24"/>
          <w:szCs w:val="24"/>
        </w:rPr>
      </w:pPr>
      <w:r>
        <w:rPr>
          <w:rFonts w:cs="Arial" w:ascii="Arial" w:hAnsi="Arial"/>
          <w:sz w:val="24"/>
          <w:szCs w:val="24"/>
        </w:rPr>
        <w:t>spełnienia wymogów formalnych, warunków oraz kryteriów wyboru operacji w ramach Planu Działania Krajowej Sieci Obszarów Wiejskich na lata 2014–2020 Plan operacyjny na lata 2020–2021</w:t>
      </w:r>
      <w:r>
        <w:rPr>
          <w:rFonts w:cs="Arial" w:ascii="Arial" w:hAnsi="Arial"/>
          <w:sz w:val="24"/>
          <w:szCs w:val="24"/>
          <w:lang w:eastAsia="ar-SA"/>
        </w:rPr>
        <w:t>”</w:t>
      </w:r>
    </w:p>
    <w:sectPr>
      <w:headerReference w:type="default" r:id="rId2"/>
      <w:headerReference w:type="first" r:id="rId3"/>
      <w:footerReference w:type="default" r:id="rId4"/>
      <w:type w:val="nextPage"/>
      <w:pgSz w:w="11906" w:h="16838"/>
      <w:pgMar w:left="1417" w:right="1417" w:header="708" w:top="1417" w:footer="708"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Segoe UI">
    <w:charset w:val="ee"/>
    <w:family w:val="roman"/>
    <w:pitch w:val="variable"/>
  </w:font>
  <w:font w:name="Liberation Sans">
    <w:altName w:val="Arial"/>
    <w:charset w:val="ee"/>
    <w:family w:val="roman"/>
    <w:pitch w:val="variable"/>
  </w:font>
  <w:font w:name="EUAlbertina">
    <w:charset w:val="ee"/>
    <w:family w:val="roman"/>
    <w:pitch w:val="variable"/>
  </w:font>
  <w:font w:name="Times">
    <w:altName w:val="Times New Roman"/>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before="120" w:after="0"/>
      <w:jc w:val="right"/>
      <w:rPr/>
    </w:pPr>
    <w:r>
      <w:rPr/>
      <w:fldChar w:fldCharType="begin"/>
    </w:r>
    <w:r>
      <w:rPr/>
      <w:instrText> PAGE </w:instrText>
    </w:r>
    <w:r>
      <w:rPr/>
      <w:fldChar w:fldCharType="separate"/>
    </w:r>
    <w:r>
      <w:rPr/>
      <w:t>21</w:t>
    </w:r>
    <w:r>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250" w:leader="none"/>
        <w:tab w:val="center" w:pos="4536" w:leader="none"/>
      </w:tabs>
      <w:spacing w:before="120" w:after="120"/>
      <w:rPr>
        <w:rFonts w:ascii="Arial" w:hAnsi="Arial"/>
        <w:color w:val="0F243E"/>
        <w:sz w:val="18"/>
        <w:szCs w:val="18"/>
      </w:rPr>
    </w:pPr>
    <w:r>
      <w:rPr>
        <w:rFonts w:ascii="Arial" w:hAnsi="Arial"/>
      </w:rPr>
      <w:tab/>
      <w:tab/>
    </w:r>
    <w:r>
      <w:rPr/>
      <w:drawing>
        <wp:inline distT="0" distB="0" distL="0" distR="0">
          <wp:extent cx="786765" cy="5207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786765" cy="520700"/>
                  </a:xfrm>
                  <a:prstGeom prst="rect">
                    <a:avLst/>
                  </a:prstGeom>
                </pic:spPr>
              </pic:pic>
            </a:graphicData>
          </a:graphic>
        </wp:inline>
      </w:drawing>
    </w:r>
    <w:r>
      <w:rPr>
        <w:rFonts w:ascii="Arial" w:hAnsi="Arial"/>
      </w:rPr>
      <w:t xml:space="preserve">                  </w:t>
    </w:r>
    <w:r>
      <w:rPr/>
      <w:drawing>
        <wp:inline distT="0" distB="0" distL="0" distR="0">
          <wp:extent cx="1488440" cy="57404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2"/>
                  <a:stretch>
                    <a:fillRect/>
                  </a:stretch>
                </pic:blipFill>
                <pic:spPr bwMode="auto">
                  <a:xfrm>
                    <a:off x="0" y="0"/>
                    <a:ext cx="1488440" cy="574040"/>
                  </a:xfrm>
                  <a:prstGeom prst="rect">
                    <a:avLst/>
                  </a:prstGeom>
                </pic:spPr>
              </pic:pic>
            </a:graphicData>
          </a:graphic>
        </wp:inline>
      </w:drawing>
    </w:r>
    <w:r>
      <w:rPr>
        <w:rFonts w:ascii="Arial" w:hAnsi="Arial"/>
      </w:rPr>
      <w:t xml:space="preserve">       </w:t>
    </w:r>
    <w:r>
      <w:rPr/>
      <w:drawing>
        <wp:inline distT="0" distB="0" distL="0" distR="0">
          <wp:extent cx="956945" cy="616585"/>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
                  <pic:cNvPicPr>
                    <a:picLocks noChangeAspect="1" noChangeArrowheads="1"/>
                  </pic:cNvPicPr>
                </pic:nvPicPr>
                <pic:blipFill>
                  <a:blip r:embed="rId3"/>
                  <a:stretch>
                    <a:fillRect/>
                  </a:stretch>
                </pic:blipFill>
                <pic:spPr bwMode="auto">
                  <a:xfrm>
                    <a:off x="0" y="0"/>
                    <a:ext cx="956945" cy="616585"/>
                  </a:xfrm>
                  <a:prstGeom prst="rect">
                    <a:avLst/>
                  </a:prstGeom>
                </pic:spPr>
              </pic:pic>
            </a:graphicData>
          </a:graphic>
        </wp:inline>
      </w:drawing>
    </w:r>
  </w:p>
  <w:p>
    <w:pPr>
      <w:pStyle w:val="Normal"/>
      <w:tabs>
        <w:tab w:val="clear" w:pos="720"/>
        <w:tab w:val="left" w:pos="2085" w:leader="none"/>
      </w:tabs>
      <w:spacing w:before="120" w:after="120"/>
      <w:jc w:val="center"/>
      <w:rPr/>
    </w:pPr>
    <w:r>
      <w:rPr>
        <w:rFonts w:ascii="Arial" w:hAnsi="Arial"/>
        <w:color w:val="0F243E"/>
        <w:sz w:val="18"/>
        <w:szCs w:val="18"/>
      </w:rPr>
      <w:t>„</w:t>
    </w:r>
    <w:r>
      <w:rPr>
        <w:rFonts w:ascii="Arial" w:hAnsi="Arial"/>
        <w:color w:val="0F243E"/>
        <w:sz w:val="18"/>
        <w:szCs w:val="18"/>
      </w:rPr>
      <w:t>Europejski Fundusz Rolny na rzecz Rozwoju Obszarów Wiejskich: Europa inwestująca w obszary wiejskie”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2">
    <w:lvl w:ilvl="0">
      <w:start w:val="1"/>
      <w:numFmt w:val="decimal"/>
      <w:lvlText w:val="%1)"/>
      <w:lvlJc w:val="left"/>
      <w:pPr>
        <w:ind w:left="1146" w:hanging="360"/>
      </w:pPr>
      <w:rPr>
        <w:sz w:val="24"/>
        <w:b/>
        <w:szCs w:val="24"/>
        <w:rFonts w:cs="Times New Roman"/>
      </w:rPr>
    </w:lvl>
    <w:lvl w:ilvl="1">
      <w:start w:val="1"/>
      <w:numFmt w:val="lowerLetter"/>
      <w:lvlText w:val="%2."/>
      <w:lvlJc w:val="left"/>
      <w:pPr>
        <w:ind w:left="1866" w:hanging="360"/>
      </w:pPr>
      <w:rPr>
        <w:sz w:val="24"/>
        <w:rFonts w:cs="Times New Roman"/>
      </w:rPr>
    </w:lvl>
    <w:lvl w:ilvl="2">
      <w:start w:val="1"/>
      <w:numFmt w:val="lowerRoman"/>
      <w:lvlText w:val="%3."/>
      <w:lvlJc w:val="right"/>
      <w:pPr>
        <w:ind w:left="2586" w:hanging="180"/>
      </w:pPr>
      <w:rPr>
        <w:sz w:val="24"/>
        <w:rFonts w:cs="Times New Roman"/>
      </w:rPr>
    </w:lvl>
    <w:lvl w:ilvl="3">
      <w:start w:val="1"/>
      <w:numFmt w:val="decimal"/>
      <w:lvlText w:val="%4."/>
      <w:lvlJc w:val="left"/>
      <w:pPr>
        <w:ind w:left="3306" w:hanging="360"/>
      </w:pPr>
      <w:rPr>
        <w:sz w:val="24"/>
        <w:rFonts w:cs="Times New Roman"/>
      </w:rPr>
    </w:lvl>
    <w:lvl w:ilvl="4">
      <w:start w:val="1"/>
      <w:numFmt w:val="lowerLetter"/>
      <w:lvlText w:val="%5."/>
      <w:lvlJc w:val="left"/>
      <w:pPr>
        <w:ind w:left="4026" w:hanging="360"/>
      </w:pPr>
      <w:rPr>
        <w:sz w:val="24"/>
        <w:rFonts w:cs="Times New Roman"/>
      </w:rPr>
    </w:lvl>
    <w:lvl w:ilvl="5">
      <w:start w:val="1"/>
      <w:numFmt w:val="lowerRoman"/>
      <w:lvlText w:val="%6."/>
      <w:lvlJc w:val="right"/>
      <w:pPr>
        <w:ind w:left="4746" w:hanging="180"/>
      </w:pPr>
      <w:rPr>
        <w:sz w:val="24"/>
        <w:rFonts w:cs="Times New Roman"/>
      </w:rPr>
    </w:lvl>
    <w:lvl w:ilvl="6">
      <w:start w:val="1"/>
      <w:numFmt w:val="decimal"/>
      <w:lvlText w:val="%7."/>
      <w:lvlJc w:val="left"/>
      <w:pPr>
        <w:ind w:left="5466" w:hanging="360"/>
      </w:pPr>
      <w:rPr>
        <w:sz w:val="24"/>
        <w:rFonts w:cs="Times New Roman"/>
      </w:rPr>
    </w:lvl>
    <w:lvl w:ilvl="7">
      <w:start w:val="1"/>
      <w:numFmt w:val="lowerLetter"/>
      <w:lvlText w:val="%8."/>
      <w:lvlJc w:val="left"/>
      <w:pPr>
        <w:ind w:left="6186" w:hanging="360"/>
      </w:pPr>
      <w:rPr>
        <w:sz w:val="24"/>
        <w:rFonts w:cs="Times New Roman"/>
      </w:rPr>
    </w:lvl>
    <w:lvl w:ilvl="8">
      <w:start w:val="1"/>
      <w:numFmt w:val="lowerRoman"/>
      <w:lvlText w:val="%9."/>
      <w:lvlJc w:val="right"/>
      <w:pPr>
        <w:ind w:left="6906" w:hanging="180"/>
      </w:pPr>
      <w:rPr>
        <w:sz w:val="24"/>
        <w:rFonts w:cs="Times New Roman"/>
      </w:rPr>
    </w:lvl>
  </w:abstractNum>
  <w:abstractNum w:abstractNumId="3">
    <w:lvl w:ilvl="0">
      <w:start w:val="1"/>
      <w:numFmt w:val="decimal"/>
      <w:lvlText w:val="%1)"/>
      <w:lvlJc w:val="left"/>
      <w:pPr>
        <w:ind w:left="720" w:hanging="360"/>
      </w:pPr>
      <w:rPr>
        <w:sz w:val="24"/>
        <w:rFonts w:eastAsia="Times New Roman"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502" w:hanging="360"/>
      </w:pPr>
      <w:rPr>
        <w:sz w:val="24"/>
        <w:i w:val="false"/>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lvl w:ilvl="0">
      <w:start w:val="1"/>
      <w:numFmt w:val="decimal"/>
      <w:lvlText w:val="%1)"/>
      <w:lvlJc w:val="left"/>
      <w:pPr>
        <w:ind w:left="720" w:hanging="360"/>
      </w:pPr>
      <w:rPr>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tabs>
          <w:tab w:val="num" w:pos="720"/>
        </w:tabs>
        <w:ind w:left="720" w:hanging="360"/>
      </w:pPr>
      <w:rPr>
        <w:sz w:val="24"/>
        <w:i w:val="false"/>
        <w:b/>
        <w:rFonts w:cs="Times New Roman"/>
      </w:rPr>
    </w:lvl>
    <w:lvl w:ilvl="1">
      <w:start w:val="1"/>
      <w:numFmt w:val="decimal"/>
      <w:lvlText w:val="%2."/>
      <w:lvlJc w:val="left"/>
      <w:pPr>
        <w:tabs>
          <w:tab w:val="num" w:pos="1080"/>
        </w:tabs>
        <w:ind w:left="1080" w:hanging="360"/>
      </w:pPr>
      <w:rPr>
        <w:sz w:val="24"/>
        <w:rFonts w:cs="Times New Roman"/>
      </w:rPr>
    </w:lvl>
    <w:lvl w:ilvl="2">
      <w:start w:val="1"/>
      <w:numFmt w:val="decimal"/>
      <w:lvlText w:val="%3."/>
      <w:lvlJc w:val="left"/>
      <w:pPr>
        <w:tabs>
          <w:tab w:val="num" w:pos="720"/>
        </w:tabs>
        <w:ind w:left="720" w:hanging="357"/>
      </w:pPr>
      <w:rPr>
        <w:sz w:val="24"/>
        <w:b/>
        <w:rFonts w:cs="Times New Roman"/>
      </w:rPr>
    </w:lvl>
    <w:lvl w:ilvl="3">
      <w:start w:val="1"/>
      <w:numFmt w:val="decimal"/>
      <w:lvlText w:val="%4."/>
      <w:lvlJc w:val="left"/>
      <w:pPr>
        <w:tabs>
          <w:tab w:val="num" w:pos="1800"/>
        </w:tabs>
        <w:ind w:left="1800" w:hanging="360"/>
      </w:pPr>
      <w:rPr>
        <w:sz w:val="24"/>
        <w:rFonts w:cs="Times New Roman"/>
      </w:rPr>
    </w:lvl>
    <w:lvl w:ilvl="4">
      <w:start w:val="1"/>
      <w:numFmt w:val="decimal"/>
      <w:lvlText w:val="%5."/>
      <w:lvlJc w:val="left"/>
      <w:pPr>
        <w:tabs>
          <w:tab w:val="num" w:pos="2160"/>
        </w:tabs>
        <w:ind w:left="2160" w:hanging="360"/>
      </w:pPr>
      <w:rPr>
        <w:sz w:val="24"/>
        <w:rFonts w:cs="Times New Roman"/>
      </w:rPr>
    </w:lvl>
    <w:lvl w:ilvl="5">
      <w:start w:val="1"/>
      <w:numFmt w:val="decimal"/>
      <w:lvlText w:val="%6."/>
      <w:lvlJc w:val="left"/>
      <w:pPr>
        <w:tabs>
          <w:tab w:val="num" w:pos="2520"/>
        </w:tabs>
        <w:ind w:left="2520" w:hanging="360"/>
      </w:pPr>
      <w:rPr>
        <w:sz w:val="24"/>
        <w:rFonts w:cs="Times New Roman"/>
      </w:rPr>
    </w:lvl>
    <w:lvl w:ilvl="6">
      <w:start w:val="1"/>
      <w:numFmt w:val="decimal"/>
      <w:lvlText w:val="%7."/>
      <w:lvlJc w:val="left"/>
      <w:pPr>
        <w:tabs>
          <w:tab w:val="num" w:pos="2880"/>
        </w:tabs>
        <w:ind w:left="2880" w:hanging="360"/>
      </w:pPr>
      <w:rPr>
        <w:sz w:val="24"/>
        <w:rFonts w:cs="Times New Roman"/>
      </w:rPr>
    </w:lvl>
    <w:lvl w:ilvl="7">
      <w:start w:val="1"/>
      <w:numFmt w:val="decimal"/>
      <w:lvlText w:val="%8."/>
      <w:lvlJc w:val="left"/>
      <w:pPr>
        <w:tabs>
          <w:tab w:val="num" w:pos="3240"/>
        </w:tabs>
        <w:ind w:left="3240" w:hanging="360"/>
      </w:pPr>
      <w:rPr>
        <w:sz w:val="24"/>
        <w:rFonts w:cs="Times New Roman"/>
      </w:rPr>
    </w:lvl>
    <w:lvl w:ilvl="8">
      <w:start w:val="1"/>
      <w:numFmt w:val="decimal"/>
      <w:lvlText w:val="%9."/>
      <w:lvlJc w:val="left"/>
      <w:pPr>
        <w:tabs>
          <w:tab w:val="num" w:pos="3600"/>
        </w:tabs>
        <w:ind w:left="3600" w:hanging="360"/>
      </w:pPr>
      <w:rPr>
        <w:sz w:val="24"/>
        <w:rFonts w:cs="Times New Roman"/>
      </w:rPr>
    </w:lvl>
  </w:abstractNum>
  <w:abstractNum w:abstractNumId="8">
    <w:lvl w:ilvl="0">
      <w:start w:val="1"/>
      <w:numFmt w:val="decimal"/>
      <w:lvlText w:val="%1)"/>
      <w:lvlJc w:val="left"/>
      <w:pPr>
        <w:ind w:left="1026" w:hanging="360"/>
      </w:pPr>
      <w:rPr>
        <w:sz w:val="24"/>
        <w:b w:val="false"/>
        <w:rFonts w:eastAsia="Calibri" w:cs="Arial"/>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9">
    <w:lvl w:ilvl="0">
      <w:start w:val="1"/>
      <w:numFmt w:val="decimal"/>
      <w:lvlText w:val="%1)"/>
      <w:lvlJc w:val="left"/>
      <w:pPr>
        <w:ind w:left="862" w:hanging="360"/>
      </w:pPr>
      <w:rPr>
        <w:rFonts w:eastAsia="font333" w:cs="Arial"/>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lvl w:ilvl="0">
      <w:start w:val="1"/>
      <w:numFmt w:val="decimal"/>
      <w:lvlText w:val="%1."/>
      <w:lvlJc w:val="left"/>
      <w:pPr>
        <w:ind w:left="360" w:hanging="360"/>
      </w:pPr>
      <w:rPr>
        <w:sz w:val="24"/>
        <w:b/>
        <w:bCs w:val="false"/>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tabs>
          <w:tab w:val="num" w:pos="290"/>
        </w:tabs>
        <w:ind w:left="1010" w:hanging="360"/>
      </w:pPr>
    </w:lvl>
    <w:lvl w:ilvl="1">
      <w:start w:val="1"/>
      <w:numFmt w:val="lowerLetter"/>
      <w:lvlText w:val="%2."/>
      <w:lvlJc w:val="left"/>
      <w:pPr>
        <w:tabs>
          <w:tab w:val="num" w:pos="290"/>
        </w:tabs>
        <w:ind w:left="1730" w:hanging="360"/>
      </w:pPr>
    </w:lvl>
    <w:lvl w:ilvl="2">
      <w:start w:val="1"/>
      <w:numFmt w:val="lowerRoman"/>
      <w:lvlText w:val="%3."/>
      <w:lvlJc w:val="right"/>
      <w:pPr>
        <w:tabs>
          <w:tab w:val="num" w:pos="290"/>
        </w:tabs>
        <w:ind w:left="2450" w:hanging="180"/>
      </w:pPr>
    </w:lvl>
    <w:lvl w:ilvl="3">
      <w:start w:val="1"/>
      <w:numFmt w:val="decimal"/>
      <w:lvlText w:val="%4."/>
      <w:lvlJc w:val="left"/>
      <w:pPr>
        <w:tabs>
          <w:tab w:val="num" w:pos="290"/>
        </w:tabs>
        <w:ind w:left="3170" w:hanging="360"/>
      </w:pPr>
    </w:lvl>
    <w:lvl w:ilvl="4">
      <w:start w:val="1"/>
      <w:numFmt w:val="lowerLetter"/>
      <w:lvlText w:val="%5."/>
      <w:lvlJc w:val="left"/>
      <w:pPr>
        <w:tabs>
          <w:tab w:val="num" w:pos="290"/>
        </w:tabs>
        <w:ind w:left="3890" w:hanging="360"/>
      </w:pPr>
    </w:lvl>
    <w:lvl w:ilvl="5">
      <w:start w:val="1"/>
      <w:numFmt w:val="lowerRoman"/>
      <w:lvlText w:val="%6."/>
      <w:lvlJc w:val="right"/>
      <w:pPr>
        <w:tabs>
          <w:tab w:val="num" w:pos="290"/>
        </w:tabs>
        <w:ind w:left="4610" w:hanging="180"/>
      </w:pPr>
    </w:lvl>
    <w:lvl w:ilvl="6">
      <w:start w:val="1"/>
      <w:numFmt w:val="decimal"/>
      <w:lvlText w:val="%7."/>
      <w:lvlJc w:val="left"/>
      <w:pPr>
        <w:tabs>
          <w:tab w:val="num" w:pos="290"/>
        </w:tabs>
        <w:ind w:left="5330" w:hanging="360"/>
      </w:pPr>
    </w:lvl>
    <w:lvl w:ilvl="7">
      <w:start w:val="1"/>
      <w:numFmt w:val="lowerLetter"/>
      <w:lvlText w:val="%8."/>
      <w:lvlJc w:val="left"/>
      <w:pPr>
        <w:tabs>
          <w:tab w:val="num" w:pos="290"/>
        </w:tabs>
        <w:ind w:left="6050" w:hanging="360"/>
      </w:pPr>
    </w:lvl>
    <w:lvl w:ilvl="8">
      <w:start w:val="1"/>
      <w:numFmt w:val="lowerRoman"/>
      <w:lvlText w:val="%9."/>
      <w:lvlJc w:val="right"/>
      <w:pPr>
        <w:tabs>
          <w:tab w:val="num" w:pos="290"/>
        </w:tabs>
        <w:ind w:left="6770" w:hanging="180"/>
      </w:pPr>
    </w:lvl>
  </w:abstractNum>
  <w:abstractNum w:abstractNumId="12">
    <w:lvl w:ilvl="0">
      <w:start w:val="1"/>
      <w:numFmt w:val="decimal"/>
      <w:lvlText w:val="%1)"/>
      <w:lvlJc w:val="left"/>
      <w:pPr>
        <w:tabs>
          <w:tab w:val="num" w:pos="720"/>
        </w:tabs>
        <w:ind w:left="720" w:hanging="360"/>
      </w:pPr>
      <w:rPr>
        <w:sz w:val="24"/>
        <w:i w:val="false"/>
      </w:rPr>
    </w:lvl>
    <w:lvl w:ilvl="1">
      <w:start w:val="1"/>
      <w:numFmt w:val="decimal"/>
      <w:lvlText w:val="%2."/>
      <w:lvlJc w:val="left"/>
      <w:pPr>
        <w:tabs>
          <w:tab w:val="num" w:pos="1080"/>
        </w:tabs>
        <w:ind w:left="1080" w:hanging="360"/>
      </w:pPr>
      <w:rPr>
        <w:sz w:val="24"/>
        <w:rFonts w:cs="Times New Roman"/>
      </w:rPr>
    </w:lvl>
    <w:lvl w:ilvl="2">
      <w:start w:val="1"/>
      <w:numFmt w:val="decimal"/>
      <w:lvlText w:val="%3."/>
      <w:lvlJc w:val="left"/>
      <w:pPr>
        <w:tabs>
          <w:tab w:val="num" w:pos="1440"/>
        </w:tabs>
        <w:ind w:left="1440" w:hanging="360"/>
      </w:pPr>
      <w:rPr>
        <w:sz w:val="24"/>
        <w:rFonts w:cs="Times New Roman"/>
      </w:rPr>
    </w:lvl>
    <w:lvl w:ilvl="3">
      <w:start w:val="1"/>
      <w:numFmt w:val="decimal"/>
      <w:lvlText w:val="%4."/>
      <w:lvlJc w:val="left"/>
      <w:pPr>
        <w:tabs>
          <w:tab w:val="num" w:pos="1800"/>
        </w:tabs>
        <w:ind w:left="1800" w:hanging="360"/>
      </w:pPr>
      <w:rPr>
        <w:sz w:val="24"/>
        <w:rFonts w:cs="Times New Roman"/>
      </w:rPr>
    </w:lvl>
    <w:lvl w:ilvl="4">
      <w:start w:val="1"/>
      <w:numFmt w:val="decimal"/>
      <w:lvlText w:val="%5."/>
      <w:lvlJc w:val="left"/>
      <w:pPr>
        <w:tabs>
          <w:tab w:val="num" w:pos="2160"/>
        </w:tabs>
        <w:ind w:left="2160" w:hanging="360"/>
      </w:pPr>
      <w:rPr>
        <w:sz w:val="24"/>
        <w:rFonts w:cs="Times New Roman"/>
      </w:rPr>
    </w:lvl>
    <w:lvl w:ilvl="5">
      <w:start w:val="1"/>
      <w:numFmt w:val="decimal"/>
      <w:lvlText w:val="%6."/>
      <w:lvlJc w:val="left"/>
      <w:pPr>
        <w:tabs>
          <w:tab w:val="num" w:pos="2520"/>
        </w:tabs>
        <w:ind w:left="2520" w:hanging="360"/>
      </w:pPr>
      <w:rPr>
        <w:sz w:val="24"/>
        <w:rFonts w:cs="Times New Roman"/>
      </w:rPr>
    </w:lvl>
    <w:lvl w:ilvl="6">
      <w:start w:val="1"/>
      <w:numFmt w:val="decimal"/>
      <w:lvlText w:val="%7."/>
      <w:lvlJc w:val="left"/>
      <w:pPr>
        <w:tabs>
          <w:tab w:val="num" w:pos="2880"/>
        </w:tabs>
        <w:ind w:left="2880" w:hanging="360"/>
      </w:pPr>
      <w:rPr>
        <w:sz w:val="24"/>
        <w:rFonts w:cs="Times New Roman"/>
      </w:rPr>
    </w:lvl>
    <w:lvl w:ilvl="7">
      <w:start w:val="1"/>
      <w:numFmt w:val="decimal"/>
      <w:lvlText w:val="%8."/>
      <w:lvlJc w:val="left"/>
      <w:pPr>
        <w:tabs>
          <w:tab w:val="num" w:pos="3240"/>
        </w:tabs>
        <w:ind w:left="3240" w:hanging="360"/>
      </w:pPr>
      <w:rPr>
        <w:sz w:val="24"/>
        <w:rFonts w:cs="Times New Roman"/>
      </w:rPr>
    </w:lvl>
    <w:lvl w:ilvl="8">
      <w:start w:val="1"/>
      <w:numFmt w:val="decimal"/>
      <w:lvlText w:val="%9."/>
      <w:lvlJc w:val="left"/>
      <w:pPr>
        <w:tabs>
          <w:tab w:val="num" w:pos="3600"/>
        </w:tabs>
        <w:ind w:left="3600" w:hanging="360"/>
      </w:pPr>
      <w:rPr>
        <w:sz w:val="24"/>
        <w:rFonts w:cs="Times New Roman"/>
      </w:rPr>
    </w:lvl>
  </w:abstractNum>
  <w:abstractNum w:abstractNumId="13">
    <w:lvl w:ilvl="0">
      <w:start w:val="1"/>
      <w:numFmt w:val="decimal"/>
      <w:lvlText w:val="%1."/>
      <w:lvlJc w:val="left"/>
      <w:pPr>
        <w:ind w:left="644" w:hanging="360"/>
      </w:pPr>
      <w:rPr>
        <w:sz w:val="24"/>
        <w:b/>
        <w:bCs w:val="false"/>
      </w:rPr>
    </w:lvl>
    <w:lvl w:ilvl="1">
      <w:start w:val="1"/>
      <w:numFmt w:val="decimal"/>
      <w:lvlText w:val="%2)"/>
      <w:lvlJc w:val="left"/>
      <w:pPr>
        <w:ind w:left="624" w:hanging="264"/>
      </w:pPr>
      <w:rPr>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lvl w:ilvl="0">
      <w:start w:val="1"/>
      <w:numFmt w:val="decimal"/>
      <w:lvlText w:val="%1."/>
      <w:lvlJc w:val="left"/>
      <w:pPr>
        <w:ind w:left="360" w:hanging="360"/>
      </w:pPr>
      <w:rPr>
        <w:sz w:val="24"/>
        <w:b/>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360" w:hanging="360"/>
      </w:pPr>
      <w:rPr>
        <w:sz w:val="24"/>
        <w:b/>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502" w:hanging="360"/>
      </w:pPr>
      <w:rPr>
        <w:sz w:val="24"/>
        <w:i w:val="false"/>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lvl w:ilvl="0">
      <w:start w:val="1"/>
      <w:numFmt w:val="decimal"/>
      <w:lvlText w:val="%1."/>
      <w:lvlJc w:val="left"/>
      <w:pPr>
        <w:ind w:left="786" w:hanging="360"/>
      </w:pPr>
      <w:rPr>
        <w:sz w:val="24"/>
        <w:i w:val="false"/>
        <w:b/>
        <w:rFonts w:eastAsia="Times New Roman" w:cs="Aria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lvl w:ilvl="0">
      <w:start w:val="1"/>
      <w:numFmt w:val="decimal"/>
      <w:lvlText w:val="%1."/>
      <w:lvlJc w:val="left"/>
      <w:pPr>
        <w:ind w:left="502" w:hanging="360"/>
      </w:pPr>
      <w:rPr>
        <w:sz w:val="24"/>
        <w:i w:val="false"/>
        <w:b/>
        <w:rFonts w:eastAsia="Times New Roman" w:cs="Arial"/>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lvl w:ilvl="0">
      <w:start w:val="1"/>
      <w:numFmt w:val="lowerLetter"/>
      <w:lvlText w:val="%1)"/>
      <w:lvlJc w:val="left"/>
      <w:pPr>
        <w:ind w:left="720" w:hanging="360"/>
      </w:pPr>
      <w:rPr>
        <w:sz w:val="24"/>
        <w:szCs w:val="24"/>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lvl w:ilvl="0">
      <w:start w:val="1"/>
      <w:numFmt w:val="decimal"/>
      <w:lvlText w:val="%1."/>
      <w:lvlJc w:val="left"/>
      <w:pPr>
        <w:ind w:left="360" w:hanging="360"/>
      </w:pPr>
      <w:rPr>
        <w:sz w:val="24"/>
        <w:i w:val="false"/>
        <w:b/>
        <w:rFonts w:eastAsia="Times New Roman"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3">
    <w:lvl w:ilvl="0">
      <w:start w:val="1"/>
      <w:numFmt w:val="decimal"/>
      <w:lvlText w:val="%1)"/>
      <w:lvlJc w:val="left"/>
      <w:pPr>
        <w:ind w:left="720" w:hanging="360"/>
      </w:pPr>
      <w:rPr>
        <w:sz w:val="24"/>
        <w:b w:val="false"/>
        <w:rFonts w:eastAsia="Times New Roman"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86" w:hanging="360"/>
      </w:pPr>
      <w:rPr>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lvl w:ilvl="0">
      <w:start w:val="1"/>
      <w:numFmt w:val="lowerLetter"/>
      <w:lvlText w:val="%1)"/>
      <w:lvlJc w:val="left"/>
      <w:pPr>
        <w:ind w:left="1068" w:hanging="360"/>
      </w:pPr>
      <w:rPr>
        <w:sz w:val="24"/>
        <w:szCs w:val="24"/>
        <w:rFonts w:cs="Arial"/>
      </w:rPr>
    </w:lvl>
    <w:lvl w:ilvl="1">
      <w:start w:val="1"/>
      <w:numFmt w:val="lowerLetter"/>
      <w:lvlText w:val="%2."/>
      <w:lvlJc w:val="left"/>
      <w:pPr>
        <w:ind w:left="1107" w:hanging="360"/>
      </w:pPr>
    </w:lvl>
    <w:lvl w:ilvl="2">
      <w:start w:val="1"/>
      <w:numFmt w:val="lowerRoman"/>
      <w:lvlText w:val="%3."/>
      <w:lvlJc w:val="right"/>
      <w:pPr>
        <w:ind w:left="1827" w:hanging="180"/>
      </w:pPr>
    </w:lvl>
    <w:lvl w:ilvl="3">
      <w:start w:val="1"/>
      <w:numFmt w:val="decimal"/>
      <w:lvlText w:val="%4."/>
      <w:lvlJc w:val="left"/>
      <w:pPr>
        <w:ind w:left="2547" w:hanging="360"/>
      </w:pPr>
    </w:lvl>
    <w:lvl w:ilvl="4">
      <w:start w:val="1"/>
      <w:numFmt w:val="lowerLetter"/>
      <w:lvlText w:val="%5."/>
      <w:lvlJc w:val="left"/>
      <w:pPr>
        <w:ind w:left="3267" w:hanging="360"/>
      </w:pPr>
    </w:lvl>
    <w:lvl w:ilvl="5">
      <w:start w:val="1"/>
      <w:numFmt w:val="lowerRoman"/>
      <w:lvlText w:val="%6."/>
      <w:lvlJc w:val="right"/>
      <w:pPr>
        <w:ind w:left="3987" w:hanging="180"/>
      </w:pPr>
    </w:lvl>
    <w:lvl w:ilvl="6">
      <w:start w:val="1"/>
      <w:numFmt w:val="decimal"/>
      <w:lvlText w:val="%7."/>
      <w:lvlJc w:val="left"/>
      <w:pPr>
        <w:ind w:left="4707" w:hanging="360"/>
      </w:pPr>
    </w:lvl>
    <w:lvl w:ilvl="7">
      <w:start w:val="1"/>
      <w:numFmt w:val="lowerLetter"/>
      <w:lvlText w:val="%8."/>
      <w:lvlJc w:val="left"/>
      <w:pPr>
        <w:ind w:left="5427" w:hanging="360"/>
      </w:pPr>
    </w:lvl>
    <w:lvl w:ilvl="8">
      <w:start w:val="1"/>
      <w:numFmt w:val="lowerRoman"/>
      <w:lvlText w:val="%9."/>
      <w:lvlJc w:val="right"/>
      <w:pPr>
        <w:ind w:left="6147" w:hanging="180"/>
      </w:pPr>
    </w:lvl>
  </w:abstractNum>
  <w:abstractNum w:abstractNumId="26">
    <w:lvl w:ilvl="0">
      <w:start w:val="1"/>
      <w:numFmt w:val="lowerLetter"/>
      <w:lvlText w:val="%1)"/>
      <w:lvlJc w:val="left"/>
      <w:pPr>
        <w:ind w:left="720" w:hanging="360"/>
      </w:pPr>
      <w:rPr>
        <w:sz w:val="24"/>
        <w:szCs w:val="24"/>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360" w:hanging="360"/>
      </w:pPr>
      <w:rPr>
        <w:sz w:val="24"/>
        <w:b/>
        <w:bCs w:val="false"/>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2"/>
      <w:numFmt w:val="decimal"/>
      <w:lvlText w:val="%1."/>
      <w:lvlJc w:val="left"/>
      <w:pPr>
        <w:ind w:left="1083"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6"/>
      <w:numFmt w:val="decimal"/>
      <w:lvlText w:val="%1."/>
      <w:lvlJc w:val="left"/>
      <w:pPr>
        <w:ind w:left="502" w:hanging="360"/>
      </w:pPr>
      <w:rPr>
        <w:sz w:val="24"/>
        <w:i w:val="false"/>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lvl w:ilvl="0">
      <w:start w:val="1"/>
      <w:numFmt w:val="decimal"/>
      <w:lvlText w:val="%1)"/>
      <w:lvlJc w:val="left"/>
      <w:pPr>
        <w:ind w:left="872" w:hanging="360"/>
      </w:pPr>
      <w:rPr>
        <w:sz w:val="24"/>
        <w:szCs w:val="24"/>
        <w:rFonts w:cs="Arial"/>
      </w:rPr>
    </w:lvl>
    <w:lvl w:ilvl="1">
      <w:start w:val="1"/>
      <w:numFmt w:val="lowerLetter"/>
      <w:lvlText w:val="%2."/>
      <w:lvlJc w:val="left"/>
      <w:pPr>
        <w:ind w:left="1668" w:hanging="360"/>
      </w:pPr>
    </w:lvl>
    <w:lvl w:ilvl="2">
      <w:start w:val="1"/>
      <w:numFmt w:val="lowerRoman"/>
      <w:lvlText w:val="%3."/>
      <w:lvlJc w:val="right"/>
      <w:pPr>
        <w:ind w:left="2388" w:hanging="180"/>
      </w:pPr>
    </w:lvl>
    <w:lvl w:ilvl="3">
      <w:start w:val="1"/>
      <w:numFmt w:val="decimal"/>
      <w:lvlText w:val="%4."/>
      <w:lvlJc w:val="left"/>
      <w:pPr>
        <w:ind w:left="3108" w:hanging="360"/>
      </w:pPr>
    </w:lvl>
    <w:lvl w:ilvl="4">
      <w:start w:val="1"/>
      <w:numFmt w:val="lowerLetter"/>
      <w:lvlText w:val="%5."/>
      <w:lvlJc w:val="left"/>
      <w:pPr>
        <w:ind w:left="3828" w:hanging="360"/>
      </w:pPr>
    </w:lvl>
    <w:lvl w:ilvl="5">
      <w:start w:val="1"/>
      <w:numFmt w:val="lowerRoman"/>
      <w:lvlText w:val="%6."/>
      <w:lvlJc w:val="right"/>
      <w:pPr>
        <w:ind w:left="4548" w:hanging="180"/>
      </w:pPr>
    </w:lvl>
    <w:lvl w:ilvl="6">
      <w:start w:val="1"/>
      <w:numFmt w:val="decimal"/>
      <w:lvlText w:val="%7."/>
      <w:lvlJc w:val="left"/>
      <w:pPr>
        <w:ind w:left="5268" w:hanging="360"/>
      </w:pPr>
    </w:lvl>
    <w:lvl w:ilvl="7">
      <w:start w:val="1"/>
      <w:numFmt w:val="lowerLetter"/>
      <w:lvlText w:val="%8."/>
      <w:lvlJc w:val="left"/>
      <w:pPr>
        <w:ind w:left="5988" w:hanging="360"/>
      </w:pPr>
    </w:lvl>
    <w:lvl w:ilvl="8">
      <w:start w:val="1"/>
      <w:numFmt w:val="lowerRoman"/>
      <w:lvlText w:val="%9."/>
      <w:lvlJc w:val="right"/>
      <w:pPr>
        <w:ind w:left="6708" w:hanging="180"/>
      </w:pPr>
    </w:lvl>
  </w:abstractNum>
  <w:abstractNum w:abstractNumId="31">
    <w:lvl w:ilvl="0">
      <w:start w:val="1"/>
      <w:numFmt w:val="decimal"/>
      <w:lvlText w:val="%1)"/>
      <w:lvlJc w:val="left"/>
      <w:pPr>
        <w:ind w:left="786" w:hanging="360"/>
      </w:pPr>
      <w:rPr>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lvl w:ilvl="0">
      <w:start w:val="6"/>
      <w:numFmt w:val="decimal"/>
      <w:lvlText w:val="%1."/>
      <w:lvlJc w:val="left"/>
      <w:pPr>
        <w:tabs>
          <w:tab w:val="num" w:pos="720"/>
        </w:tabs>
        <w:ind w:left="720" w:hanging="360"/>
      </w:pPr>
      <w:rPr>
        <w:sz w:val="24"/>
        <w:i w:val="false"/>
        <w:b/>
        <w:rFonts w:cs="Times New Roman"/>
      </w:rPr>
    </w:lvl>
    <w:lvl w:ilvl="1">
      <w:start w:val="1"/>
      <w:numFmt w:val="decimal"/>
      <w:lvlText w:val="%2."/>
      <w:lvlJc w:val="left"/>
      <w:pPr>
        <w:tabs>
          <w:tab w:val="num" w:pos="1080"/>
        </w:tabs>
        <w:ind w:left="1080" w:hanging="360"/>
      </w:pPr>
      <w:rPr>
        <w:sz w:val="24"/>
        <w:rFonts w:cs="Times New Roman"/>
      </w:rPr>
    </w:lvl>
    <w:lvl w:ilvl="2">
      <w:start w:val="1"/>
      <w:numFmt w:val="decimal"/>
      <w:lvlText w:val="%3."/>
      <w:lvlJc w:val="left"/>
      <w:pPr>
        <w:tabs>
          <w:tab w:val="num" w:pos="1440"/>
        </w:tabs>
        <w:ind w:left="1440" w:hanging="360"/>
      </w:pPr>
      <w:rPr>
        <w:sz w:val="24"/>
        <w:b/>
        <w:rFonts w:cs="Times New Roman"/>
      </w:rPr>
    </w:lvl>
    <w:lvl w:ilvl="3">
      <w:start w:val="1"/>
      <w:numFmt w:val="decimal"/>
      <w:lvlText w:val="%4."/>
      <w:lvlJc w:val="left"/>
      <w:pPr>
        <w:tabs>
          <w:tab w:val="num" w:pos="1800"/>
        </w:tabs>
        <w:ind w:left="1800" w:hanging="360"/>
      </w:pPr>
      <w:rPr>
        <w:sz w:val="24"/>
        <w:rFonts w:cs="Times New Roman"/>
      </w:rPr>
    </w:lvl>
    <w:lvl w:ilvl="4">
      <w:start w:val="1"/>
      <w:numFmt w:val="decimal"/>
      <w:lvlText w:val="%5."/>
      <w:lvlJc w:val="left"/>
      <w:pPr>
        <w:tabs>
          <w:tab w:val="num" w:pos="2160"/>
        </w:tabs>
        <w:ind w:left="2160" w:hanging="360"/>
      </w:pPr>
      <w:rPr>
        <w:sz w:val="24"/>
        <w:rFonts w:cs="Times New Roman"/>
      </w:rPr>
    </w:lvl>
    <w:lvl w:ilvl="5">
      <w:start w:val="1"/>
      <w:numFmt w:val="decimal"/>
      <w:lvlText w:val="%6."/>
      <w:lvlJc w:val="left"/>
      <w:pPr>
        <w:tabs>
          <w:tab w:val="num" w:pos="2520"/>
        </w:tabs>
        <w:ind w:left="2520" w:hanging="360"/>
      </w:pPr>
      <w:rPr>
        <w:sz w:val="24"/>
        <w:rFonts w:cs="Times New Roman"/>
      </w:rPr>
    </w:lvl>
    <w:lvl w:ilvl="6">
      <w:start w:val="1"/>
      <w:numFmt w:val="decimal"/>
      <w:lvlText w:val="%7."/>
      <w:lvlJc w:val="left"/>
      <w:pPr>
        <w:tabs>
          <w:tab w:val="num" w:pos="2880"/>
        </w:tabs>
        <w:ind w:left="2880" w:hanging="360"/>
      </w:pPr>
      <w:rPr>
        <w:sz w:val="24"/>
        <w:rFonts w:cs="Times New Roman"/>
      </w:rPr>
    </w:lvl>
    <w:lvl w:ilvl="7">
      <w:start w:val="1"/>
      <w:numFmt w:val="decimal"/>
      <w:lvlText w:val="%8."/>
      <w:lvlJc w:val="left"/>
      <w:pPr>
        <w:tabs>
          <w:tab w:val="num" w:pos="3240"/>
        </w:tabs>
        <w:ind w:left="3240" w:hanging="360"/>
      </w:pPr>
      <w:rPr>
        <w:sz w:val="24"/>
        <w:rFonts w:cs="Times New Roman"/>
      </w:rPr>
    </w:lvl>
    <w:lvl w:ilvl="8">
      <w:start w:val="1"/>
      <w:numFmt w:val="decimal"/>
      <w:lvlText w:val="%9."/>
      <w:lvlJc w:val="left"/>
      <w:pPr>
        <w:tabs>
          <w:tab w:val="num" w:pos="3600"/>
        </w:tabs>
        <w:ind w:left="3600" w:hanging="360"/>
      </w:pPr>
      <w:rPr>
        <w:sz w:val="24"/>
        <w:rFonts w:cs="Times New Roman"/>
      </w:r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120" w:after="120"/>
      <w:ind w:left="641" w:hanging="357"/>
      <w:jc w:val="left"/>
    </w:pPr>
    <w:rPr>
      <w:rFonts w:ascii="Calibri" w:hAnsi="Calibri" w:eastAsia="Calibri" w:cs="font333"/>
      <w:color w:val="00000A"/>
      <w:kern w:val="2"/>
      <w:sz w:val="22"/>
      <w:szCs w:val="22"/>
      <w:lang w:val="pl-PL" w:eastAsia="en-US" w:bidi="ar-SA"/>
    </w:rPr>
  </w:style>
  <w:style w:type="character" w:styleId="DefaultParagraphFont" w:default="1">
    <w:name w:val="Default Paragraph Font"/>
    <w:uiPriority w:val="1"/>
    <w:semiHidden/>
    <w:unhideWhenUsed/>
    <w:qFormat/>
    <w:rPr/>
  </w:style>
  <w:style w:type="character" w:styleId="Domylnaczcionkaakapitu1" w:customStyle="1">
    <w:name w:val="Domyślna czcionka akapitu1"/>
    <w:qFormat/>
    <w:rPr/>
  </w:style>
  <w:style w:type="character" w:styleId="Czeinternetowe" w:customStyle="1">
    <w:name w:val="Łącze internetowe"/>
    <w:rPr>
      <w:color w:val="0000FF"/>
      <w:u w:val="single"/>
    </w:rPr>
  </w:style>
  <w:style w:type="character" w:styleId="NagwekZnak" w:customStyle="1">
    <w:name w:val="Nagłówek Znak"/>
    <w:basedOn w:val="Domylnaczcionkaakapitu1"/>
    <w:qFormat/>
    <w:rPr/>
  </w:style>
  <w:style w:type="character" w:styleId="StopkaZnak" w:customStyle="1">
    <w:name w:val="Stopka Znak"/>
    <w:basedOn w:val="Domylnaczcionkaakapitu1"/>
    <w:qFormat/>
    <w:rPr/>
  </w:style>
  <w:style w:type="character" w:styleId="TekstprzypisukocowegoZnak" w:customStyle="1">
    <w:name w:val="Tekst przypisu końcowego Znak"/>
    <w:qFormat/>
    <w:rPr>
      <w:sz w:val="20"/>
      <w:szCs w:val="20"/>
    </w:rPr>
  </w:style>
  <w:style w:type="character" w:styleId="Odwoanieprzypisukocowego1" w:customStyle="1">
    <w:name w:val="Odwołanie przypisu końcowego1"/>
    <w:qFormat/>
    <w:rPr>
      <w:vertAlign w:val="superscript"/>
    </w:rPr>
  </w:style>
  <w:style w:type="character" w:styleId="TekstprzypisudolnegoZnak" w:customStyle="1">
    <w:name w:val="Tekst przypisu dolnego Znak"/>
    <w:qFormat/>
    <w:rPr>
      <w:sz w:val="20"/>
      <w:szCs w:val="20"/>
    </w:rPr>
  </w:style>
  <w:style w:type="character" w:styleId="Odwoanieprzypisudolnego1" w:customStyle="1">
    <w:name w:val="Odwołanie przypisu dolnego1"/>
    <w:qFormat/>
    <w:rPr>
      <w:vertAlign w:val="superscript"/>
    </w:rPr>
  </w:style>
  <w:style w:type="character" w:styleId="TekstkomentarzaZnak" w:customStyle="1">
    <w:name w:val="Tekst komentarza Znak"/>
    <w:qFormat/>
    <w:rPr>
      <w:sz w:val="20"/>
      <w:szCs w:val="20"/>
    </w:rPr>
  </w:style>
  <w:style w:type="character" w:styleId="AkapitzlistZnak" w:customStyle="1">
    <w:name w:val="Akapit z listą Znak"/>
    <w:link w:val="Akapitzlist"/>
    <w:uiPriority w:val="34"/>
    <w:qFormat/>
    <w:rPr/>
  </w:style>
  <w:style w:type="character" w:styleId="TekstdymkaZnak" w:customStyle="1">
    <w:name w:val="Tekst dymka Znak"/>
    <w:qFormat/>
    <w:rPr>
      <w:rFonts w:ascii="Tahoma" w:hAnsi="Tahoma" w:cs="Tahoma"/>
      <w:sz w:val="16"/>
      <w:szCs w:val="16"/>
    </w:rPr>
  </w:style>
  <w:style w:type="character" w:styleId="TekstpodstawowyZnak" w:customStyle="1">
    <w:name w:val="Tekst podstawowy Znak"/>
    <w:qFormat/>
    <w:rPr>
      <w:rFonts w:ascii="Times New Roman" w:hAnsi="Times New Roman" w:eastAsia="Calibri" w:cs="Times New Roman"/>
      <w:sz w:val="20"/>
      <w:szCs w:val="20"/>
      <w:lang w:eastAsia="pl-PL"/>
    </w:rPr>
  </w:style>
  <w:style w:type="character" w:styleId="Pogrubienie1" w:customStyle="1">
    <w:name w:val="Pogrubienie1"/>
    <w:qFormat/>
    <w:rPr>
      <w:rFonts w:ascii="Tahoma" w:hAnsi="Tahoma"/>
      <w:b w:val="false"/>
      <w:bCs/>
      <w:caps/>
      <w:color w:val="00000A"/>
      <w:sz w:val="24"/>
    </w:rPr>
  </w:style>
  <w:style w:type="character" w:styleId="Odwoaniedokomentarza1" w:customStyle="1">
    <w:name w:val="Odwołanie do komentarza1"/>
    <w:qFormat/>
    <w:rPr>
      <w:sz w:val="16"/>
      <w:szCs w:val="16"/>
    </w:rPr>
  </w:style>
  <w:style w:type="character" w:styleId="TematkomentarzaZnak" w:customStyle="1">
    <w:name w:val="Temat komentarza Znak"/>
    <w:qFormat/>
    <w:rPr>
      <w:b/>
      <w:bCs/>
      <w:sz w:val="20"/>
      <w:szCs w:val="20"/>
    </w:rPr>
  </w:style>
  <w:style w:type="character" w:styleId="TekstdymkaZnak1" w:customStyle="1">
    <w:name w:val="Tekst dymka Znak1"/>
    <w:link w:val="Tekstdymka"/>
    <w:uiPriority w:val="99"/>
    <w:semiHidden/>
    <w:qFormat/>
    <w:rsid w:val="008c6607"/>
    <w:rPr>
      <w:rFonts w:ascii="Segoe UI" w:hAnsi="Segoe UI" w:eastAsia="Calibri" w:cs="Segoe UI"/>
      <w:color w:val="00000A"/>
      <w:kern w:val="2"/>
      <w:sz w:val="18"/>
      <w:szCs w:val="18"/>
      <w:lang w:eastAsia="en-US"/>
    </w:rPr>
  </w:style>
  <w:style w:type="character" w:styleId="TekstprzypisukocowegoZnak1" w:customStyle="1">
    <w:name w:val="Tekst przypisu końcowego Znak1"/>
    <w:link w:val="Tekstprzypisukocowego"/>
    <w:uiPriority w:val="99"/>
    <w:semiHidden/>
    <w:qFormat/>
    <w:rsid w:val="00e76a3a"/>
    <w:rPr>
      <w:rFonts w:ascii="Calibri" w:hAnsi="Calibri" w:eastAsia="Calibri" w:cs="font333"/>
      <w:color w:val="00000A"/>
      <w:kern w:val="2"/>
      <w:lang w:eastAsia="en-US"/>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657452"/>
    <w:rPr>
      <w:vertAlign w:val="superscript"/>
    </w:rPr>
  </w:style>
  <w:style w:type="character" w:styleId="Annotationreference">
    <w:name w:val="annotation reference"/>
    <w:uiPriority w:val="99"/>
    <w:semiHidden/>
    <w:unhideWhenUsed/>
    <w:qFormat/>
    <w:rsid w:val="00c14abe"/>
    <w:rPr>
      <w:sz w:val="16"/>
      <w:szCs w:val="16"/>
    </w:rPr>
  </w:style>
  <w:style w:type="character" w:styleId="TekstkomentarzaZnak1" w:customStyle="1">
    <w:name w:val="Tekst komentarza Znak1"/>
    <w:link w:val="Tekstkomentarza"/>
    <w:uiPriority w:val="99"/>
    <w:semiHidden/>
    <w:qFormat/>
    <w:rsid w:val="00c14abe"/>
    <w:rPr>
      <w:rFonts w:ascii="Calibri" w:hAnsi="Calibri" w:eastAsia="Calibri" w:cs="font333"/>
      <w:color w:val="00000A"/>
      <w:kern w:val="2"/>
      <w:lang w:eastAsia="en-US"/>
    </w:rPr>
  </w:style>
  <w:style w:type="character" w:styleId="TematkomentarzaZnak1" w:customStyle="1">
    <w:name w:val="Temat komentarza Znak1"/>
    <w:link w:val="Tematkomentarza"/>
    <w:uiPriority w:val="99"/>
    <w:semiHidden/>
    <w:qFormat/>
    <w:rsid w:val="00c14abe"/>
    <w:rPr>
      <w:rFonts w:ascii="Calibri" w:hAnsi="Calibri" w:eastAsia="Calibri" w:cs="font333"/>
      <w:b/>
      <w:bCs/>
      <w:color w:val="00000A"/>
      <w:kern w:val="2"/>
      <w:lang w:eastAsia="en-US"/>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120" w:after="0"/>
    </w:pPr>
    <w:rPr>
      <w:rFonts w:ascii="Times New Roman" w:hAnsi="Times New Roman" w:cs="Times New Roman"/>
      <w:sz w:val="20"/>
      <w:szCs w:val="20"/>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pPr>
      <w:tabs>
        <w:tab w:val="clear" w:pos="720"/>
        <w:tab w:val="center" w:pos="4536" w:leader="none"/>
        <w:tab w:val="right" w:pos="9072" w:leader="none"/>
      </w:tabs>
      <w:spacing w:before="120" w:after="0"/>
    </w:pPr>
    <w:rPr/>
  </w:style>
  <w:style w:type="paragraph" w:styleId="Caption">
    <w:name w:val="caption"/>
    <w:basedOn w:val="Normal"/>
    <w:qFormat/>
    <w:pPr>
      <w:suppressLineNumbers/>
    </w:pPr>
    <w:rPr>
      <w:rFonts w:cs="Arial"/>
      <w:i/>
      <w:iCs/>
      <w:sz w:val="24"/>
      <w:szCs w:val="24"/>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Arial"/>
      <w:sz w:val="28"/>
      <w:szCs w:val="28"/>
    </w:rPr>
  </w:style>
  <w:style w:type="paragraph" w:styleId="Akapitzlist1" w:customStyle="1">
    <w:name w:val="Akapit z listą1"/>
    <w:basedOn w:val="Normal"/>
    <w:qFormat/>
    <w:pPr>
      <w:spacing w:before="120" w:after="120"/>
      <w:ind w:left="720" w:hanging="357"/>
      <w:contextualSpacing/>
    </w:pPr>
    <w:rPr/>
  </w:style>
  <w:style w:type="paragraph" w:styleId="CM1" w:customStyle="1">
    <w:name w:val="CM1"/>
    <w:basedOn w:val="Normal"/>
    <w:qFormat/>
    <w:pPr>
      <w:spacing w:before="120" w:after="0"/>
    </w:pPr>
    <w:rPr>
      <w:rFonts w:ascii="EUAlbertina" w:hAnsi="EUAlbertina"/>
      <w:sz w:val="24"/>
      <w:szCs w:val="24"/>
    </w:rPr>
  </w:style>
  <w:style w:type="paragraph" w:styleId="CM3" w:customStyle="1">
    <w:name w:val="CM3"/>
    <w:basedOn w:val="Normal"/>
    <w:qFormat/>
    <w:pPr>
      <w:spacing w:before="120" w:after="0"/>
    </w:pPr>
    <w:rPr>
      <w:rFonts w:ascii="EUAlbertina" w:hAnsi="EUAlbertina"/>
      <w:sz w:val="24"/>
      <w:szCs w:val="24"/>
    </w:rPr>
  </w:style>
  <w:style w:type="paragraph" w:styleId="Stopka">
    <w:name w:val="Footer"/>
    <w:basedOn w:val="Normal"/>
    <w:pPr>
      <w:tabs>
        <w:tab w:val="clear" w:pos="720"/>
        <w:tab w:val="center" w:pos="4536" w:leader="none"/>
        <w:tab w:val="right" w:pos="9072" w:leader="none"/>
      </w:tabs>
      <w:spacing w:before="120" w:after="0"/>
    </w:pPr>
    <w:rPr/>
  </w:style>
  <w:style w:type="paragraph" w:styleId="NormalnyWeb1" w:customStyle="1">
    <w:name w:val="Normalny (Web)1"/>
    <w:basedOn w:val="Normal"/>
    <w:qFormat/>
    <w:pPr>
      <w:spacing w:lineRule="auto" w:line="252" w:before="120" w:after="280"/>
    </w:pPr>
    <w:rPr>
      <w:rFonts w:eastAsia="Times New Roman" w:cs="Times New Roman"/>
      <w:lang w:eastAsia="pl-PL"/>
    </w:rPr>
  </w:style>
  <w:style w:type="paragraph" w:styleId="Tekstprzypisukocowego1" w:customStyle="1">
    <w:name w:val="Tekst przypisu końcowego1"/>
    <w:basedOn w:val="Normal"/>
    <w:qFormat/>
    <w:pPr>
      <w:spacing w:before="120" w:after="0"/>
    </w:pPr>
    <w:rPr>
      <w:sz w:val="20"/>
      <w:szCs w:val="20"/>
    </w:rPr>
  </w:style>
  <w:style w:type="paragraph" w:styleId="Tekstprzypisudolnego1" w:customStyle="1">
    <w:name w:val="Tekst przypisu dolnego1"/>
    <w:basedOn w:val="Normal"/>
    <w:qFormat/>
    <w:pPr>
      <w:spacing w:before="120" w:after="0"/>
    </w:pPr>
    <w:rPr>
      <w:sz w:val="20"/>
      <w:szCs w:val="20"/>
    </w:rPr>
  </w:style>
  <w:style w:type="paragraph" w:styleId="Tekstkomentarza1" w:customStyle="1">
    <w:name w:val="Tekst komentarza1"/>
    <w:basedOn w:val="Normal"/>
    <w:qFormat/>
    <w:pPr/>
    <w:rPr>
      <w:sz w:val="20"/>
      <w:szCs w:val="20"/>
    </w:rPr>
  </w:style>
  <w:style w:type="paragraph" w:styleId="Bodytext" w:customStyle="1">
    <w:name w:val="bodytext"/>
    <w:basedOn w:val="Normal"/>
    <w:qFormat/>
    <w:pPr>
      <w:spacing w:before="280" w:after="280"/>
    </w:pPr>
    <w:rPr>
      <w:rFonts w:ascii="Times New Roman" w:hAnsi="Times New Roman" w:eastAsia="Times New Roman" w:cs="Times New Roman"/>
      <w:sz w:val="24"/>
      <w:szCs w:val="24"/>
      <w:lang w:eastAsia="pl-PL"/>
    </w:rPr>
  </w:style>
  <w:style w:type="paragraph" w:styleId="Default" w:customStyle="1">
    <w:name w:val="Default"/>
    <w:qFormat/>
    <w:pPr>
      <w:widowControl/>
      <w:suppressAutoHyphens w:val="true"/>
      <w:bidi w:val="0"/>
      <w:spacing w:before="120" w:after="0"/>
      <w:ind w:left="641" w:hanging="357"/>
      <w:jc w:val="left"/>
    </w:pPr>
    <w:rPr>
      <w:rFonts w:ascii="Calibri" w:hAnsi="Calibri" w:eastAsia="Calibri" w:cs="Calibri"/>
      <w:color w:val="000000"/>
      <w:kern w:val="2"/>
      <w:sz w:val="24"/>
      <w:szCs w:val="24"/>
      <w:lang w:val="pl-PL" w:eastAsia="en-US" w:bidi="ar-SA"/>
    </w:rPr>
  </w:style>
  <w:style w:type="paragraph" w:styleId="Styl1" w:customStyle="1">
    <w:name w:val="Styl1"/>
    <w:basedOn w:val="Normal"/>
    <w:autoRedefine/>
    <w:qFormat/>
    <w:pPr>
      <w:ind w:left="867" w:hanging="357"/>
    </w:pPr>
    <w:rPr>
      <w:rFonts w:ascii="Times New Roman" w:hAnsi="Times New Roman" w:eastAsia="Times New Roman" w:cs="Times New Roman"/>
      <w:sz w:val="24"/>
      <w:szCs w:val="24"/>
      <w:lang w:eastAsia="pl-PL"/>
    </w:rPr>
  </w:style>
  <w:style w:type="paragraph" w:styleId="Listapunktowana21" w:customStyle="1">
    <w:name w:val="Lista punktowana 21"/>
    <w:basedOn w:val="Normal"/>
    <w:qFormat/>
    <w:pPr>
      <w:tabs>
        <w:tab w:val="left" w:pos="720" w:leader="none"/>
      </w:tabs>
      <w:spacing w:before="120" w:after="120"/>
      <w:ind w:left="720" w:hanging="360"/>
      <w:contextualSpacing/>
    </w:pPr>
    <w:rPr/>
  </w:style>
  <w:style w:type="paragraph" w:styleId="ZUSTzmustartykuempunktem" w:customStyle="1">
    <w:name w:val="Z/UST(§) – zm. ust. (§) artykułem (punktem)"/>
    <w:basedOn w:val="Normal"/>
    <w:qFormat/>
    <w:pPr>
      <w:spacing w:lineRule="auto" w:line="360" w:before="120" w:after="0"/>
      <w:ind w:left="510" w:firstLine="510"/>
    </w:pPr>
    <w:rPr>
      <w:rFonts w:ascii="Times" w:hAnsi="Times" w:eastAsia="font333" w:cs="Arial"/>
      <w:sz w:val="24"/>
      <w:szCs w:val="20"/>
      <w:lang w:eastAsia="pl-PL"/>
    </w:rPr>
  </w:style>
  <w:style w:type="paragraph" w:styleId="ZPKTzmpktartykuempunktem" w:customStyle="1">
    <w:name w:val="Z/PKT – zm. pkt artykułem (punktem)"/>
    <w:basedOn w:val="Normal"/>
    <w:qFormat/>
    <w:pPr>
      <w:spacing w:lineRule="auto" w:line="360" w:before="120" w:after="0"/>
      <w:ind w:left="1020" w:hanging="510"/>
    </w:pPr>
    <w:rPr>
      <w:rFonts w:ascii="Times" w:hAnsi="Times" w:eastAsia="font333" w:cs="Arial"/>
      <w:bCs/>
      <w:sz w:val="24"/>
      <w:szCs w:val="20"/>
      <w:lang w:eastAsia="pl-PL"/>
    </w:rPr>
  </w:style>
  <w:style w:type="paragraph" w:styleId="USTustnpkodeksu" w:customStyle="1">
    <w:name w:val="UST(§) – ust. (§ np. kodeksu)"/>
    <w:basedOn w:val="Normal"/>
    <w:qFormat/>
    <w:pPr>
      <w:spacing w:lineRule="auto" w:line="360" w:before="120" w:after="0"/>
      <w:ind w:left="641" w:firstLine="510"/>
    </w:pPr>
    <w:rPr>
      <w:rFonts w:ascii="Times" w:hAnsi="Times" w:eastAsia="font333" w:cs="Arial"/>
      <w:bCs/>
      <w:sz w:val="24"/>
      <w:szCs w:val="20"/>
      <w:lang w:eastAsia="pl-PL"/>
    </w:rPr>
  </w:style>
  <w:style w:type="paragraph" w:styleId="PKTpunkt" w:customStyle="1">
    <w:name w:val="PKT – punkt"/>
    <w:qFormat/>
    <w:pPr>
      <w:widowControl/>
      <w:suppressAutoHyphens w:val="true"/>
      <w:bidi w:val="0"/>
      <w:spacing w:lineRule="auto" w:line="360" w:before="120" w:after="0"/>
      <w:ind w:left="510" w:hanging="510"/>
      <w:jc w:val="left"/>
    </w:pPr>
    <w:rPr>
      <w:rFonts w:ascii="Times" w:hAnsi="Times" w:eastAsia="font333" w:cs="Arial"/>
      <w:bCs/>
      <w:color w:val="00000A"/>
      <w:kern w:val="2"/>
      <w:sz w:val="24"/>
      <w:szCs w:val="20"/>
      <w:lang w:val="pl-PL" w:eastAsia="pl-PL" w:bidi="ar-SA"/>
    </w:rPr>
  </w:style>
  <w:style w:type="paragraph" w:styleId="Tekstdymka1" w:customStyle="1">
    <w:name w:val="Tekst dymka1"/>
    <w:basedOn w:val="Normal"/>
    <w:qFormat/>
    <w:pPr>
      <w:spacing w:before="120" w:after="0"/>
    </w:pPr>
    <w:rPr>
      <w:rFonts w:ascii="Tahoma" w:hAnsi="Tahoma" w:cs="Tahoma"/>
      <w:sz w:val="16"/>
      <w:szCs w:val="16"/>
    </w:rPr>
  </w:style>
  <w:style w:type="paragraph" w:styleId="ZTIRwPKTzmtirwpktartykuempunktem" w:customStyle="1">
    <w:name w:val="Z/TIR_w_PKT – zm. tir. w pkt artykułem (punktem)"/>
    <w:basedOn w:val="Normal"/>
    <w:qFormat/>
    <w:pPr>
      <w:spacing w:lineRule="auto" w:line="360" w:before="120" w:after="0"/>
      <w:ind w:left="1894" w:hanging="397"/>
    </w:pPr>
    <w:rPr>
      <w:rFonts w:ascii="Times" w:hAnsi="Times" w:eastAsia="font333" w:cs="Arial"/>
      <w:bCs/>
      <w:sz w:val="24"/>
      <w:szCs w:val="20"/>
      <w:lang w:eastAsia="pl-PL"/>
    </w:rPr>
  </w:style>
  <w:style w:type="paragraph" w:styleId="LITlitera" w:customStyle="1">
    <w:name w:val="LIT – litera"/>
    <w:basedOn w:val="PKTpunkt"/>
    <w:qFormat/>
    <w:pPr>
      <w:ind w:left="986" w:hanging="476"/>
    </w:pPr>
    <w:rPr>
      <w:rFonts w:eastAsia="Times New Roman"/>
    </w:rPr>
  </w:style>
  <w:style w:type="paragraph" w:styleId="ARTartustawynprozporzdzenia" w:customStyle="1">
    <w:name w:val="ART(§) – art. ustawy (§ np. rozporządzenia)"/>
    <w:qFormat/>
    <w:pPr>
      <w:widowControl/>
      <w:suppressAutoHyphens w:val="true"/>
      <w:bidi w:val="0"/>
      <w:spacing w:lineRule="auto" w:line="360" w:before="120" w:after="0"/>
      <w:ind w:left="641" w:firstLine="510"/>
      <w:jc w:val="left"/>
    </w:pPr>
    <w:rPr>
      <w:rFonts w:ascii="Times" w:hAnsi="Times" w:eastAsia="Times New Roman" w:cs="Arial"/>
      <w:color w:val="00000A"/>
      <w:kern w:val="2"/>
      <w:sz w:val="24"/>
      <w:szCs w:val="20"/>
      <w:lang w:val="pl-PL" w:eastAsia="pl-PL" w:bidi="ar-SA"/>
    </w:rPr>
  </w:style>
  <w:style w:type="paragraph" w:styleId="ZLITwPKTzmlitwpktartykuempunktem" w:customStyle="1">
    <w:name w:val="Z/LIT_w_PKT – zm. lit. w pkt artykułem (punktem)"/>
    <w:basedOn w:val="LITlitera"/>
    <w:qFormat/>
    <w:pPr>
      <w:ind w:left="1497" w:hanging="476"/>
    </w:pPr>
    <w:rPr>
      <w:rFonts w:eastAsia="font333"/>
    </w:rPr>
  </w:style>
  <w:style w:type="paragraph" w:styleId="Ciemnalistaakcent51" w:customStyle="1">
    <w:name w:val="Ciemna lista — akcent 51"/>
    <w:basedOn w:val="Normal"/>
    <w:qFormat/>
    <w:pPr>
      <w:spacing w:before="0" w:after="0"/>
      <w:ind w:left="708" w:hanging="0"/>
    </w:pPr>
    <w:rPr>
      <w:rFonts w:ascii="Times New Roman" w:hAnsi="Times New Roman" w:eastAsia="Times New Roman" w:cs="Times New Roman"/>
      <w:sz w:val="24"/>
      <w:szCs w:val="24"/>
      <w:lang w:eastAsia="pl-PL"/>
    </w:rPr>
  </w:style>
  <w:style w:type="paragraph" w:styleId="Tematkomentarza1" w:customStyle="1">
    <w:name w:val="Temat komentarza1"/>
    <w:basedOn w:val="Tekstkomentarza1"/>
    <w:qFormat/>
    <w:pPr/>
    <w:rPr>
      <w:b/>
      <w:bCs/>
    </w:rPr>
  </w:style>
  <w:style w:type="paragraph" w:styleId="BalloonText">
    <w:name w:val="Balloon Text"/>
    <w:basedOn w:val="Normal"/>
    <w:link w:val="TekstdymkaZnak1"/>
    <w:uiPriority w:val="99"/>
    <w:semiHidden/>
    <w:unhideWhenUsed/>
    <w:qFormat/>
    <w:rsid w:val="008c6607"/>
    <w:pPr>
      <w:spacing w:before="0" w:after="0"/>
    </w:pPr>
    <w:rPr>
      <w:rFonts w:ascii="Segoe UI" w:hAnsi="Segoe UI" w:cs="Segoe UI"/>
      <w:sz w:val="18"/>
      <w:szCs w:val="18"/>
    </w:rPr>
  </w:style>
  <w:style w:type="paragraph" w:styleId="Przypiskocowy">
    <w:name w:val="Endnote Text"/>
    <w:basedOn w:val="Normal"/>
    <w:link w:val="TekstprzypisukocowegoZnak1"/>
    <w:uiPriority w:val="99"/>
    <w:semiHidden/>
    <w:unhideWhenUsed/>
    <w:rsid w:val="00e76a3a"/>
    <w:pPr/>
    <w:rPr>
      <w:sz w:val="20"/>
      <w:szCs w:val="20"/>
    </w:rPr>
  </w:style>
  <w:style w:type="paragraph" w:styleId="Annotationtext">
    <w:name w:val="annotation text"/>
    <w:basedOn w:val="Normal"/>
    <w:link w:val="TekstkomentarzaZnak1"/>
    <w:uiPriority w:val="99"/>
    <w:semiHidden/>
    <w:unhideWhenUsed/>
    <w:qFormat/>
    <w:rsid w:val="00c14abe"/>
    <w:pPr/>
    <w:rPr>
      <w:sz w:val="20"/>
      <w:szCs w:val="20"/>
    </w:rPr>
  </w:style>
  <w:style w:type="paragraph" w:styleId="Annotationsubject">
    <w:name w:val="annotation subject"/>
    <w:basedOn w:val="Annotationtext"/>
    <w:next w:val="Annotationtext"/>
    <w:link w:val="TematkomentarzaZnak1"/>
    <w:uiPriority w:val="99"/>
    <w:semiHidden/>
    <w:unhideWhenUsed/>
    <w:qFormat/>
    <w:rsid w:val="00c14abe"/>
    <w:pPr/>
    <w:rPr>
      <w:b/>
      <w:bCs/>
    </w:rPr>
  </w:style>
  <w:style w:type="paragraph" w:styleId="ListParagraph">
    <w:name w:val="List Paragraph"/>
    <w:basedOn w:val="Normal"/>
    <w:link w:val="AkapitzlistZnak"/>
    <w:uiPriority w:val="34"/>
    <w:qFormat/>
    <w:rsid w:val="00135d7a"/>
    <w:pPr>
      <w:suppressAutoHyphens w:val="false"/>
      <w:spacing w:lineRule="auto" w:line="276" w:before="0" w:after="200"/>
      <w:ind w:left="720" w:hanging="0"/>
      <w:contextualSpacing/>
    </w:pPr>
    <w:rPr>
      <w:rFonts w:ascii="Times New Roman" w:hAnsi="Times New Roman" w:eastAsia="Times New Roman" w:cs="Times New Roman"/>
      <w:color w:val="auto"/>
      <w:kern w:val="0"/>
      <w:sz w:val="20"/>
      <w:szCs w:val="20"/>
      <w:lang w:eastAsia="pl-PL"/>
    </w:rPr>
  </w:style>
  <w:style w:type="paragraph" w:styleId="Revision">
    <w:name w:val="Revision"/>
    <w:uiPriority w:val="99"/>
    <w:semiHidden/>
    <w:qFormat/>
    <w:rsid w:val="00da5e29"/>
    <w:pPr>
      <w:widowControl/>
      <w:suppressAutoHyphens w:val="true"/>
      <w:bidi w:val="0"/>
      <w:spacing w:before="0" w:after="0"/>
      <w:jc w:val="left"/>
    </w:pPr>
    <w:rPr>
      <w:rFonts w:ascii="Calibri" w:hAnsi="Calibri" w:eastAsia="Calibri" w:cs="font333"/>
      <w:color w:val="00000A"/>
      <w:kern w:val="2"/>
      <w:sz w:val="22"/>
      <w:szCs w:val="22"/>
      <w:lang w:val="pl-PL" w:eastAsia="en-US" w:bidi="ar-SA"/>
    </w:rPr>
  </w:style>
  <w:style w:type="paragraph" w:styleId="NormalWeb">
    <w:name w:val="Normal (Web)"/>
    <w:basedOn w:val="Normal"/>
    <w:uiPriority w:val="99"/>
    <w:semiHidden/>
    <w:unhideWhenUsed/>
    <w:qFormat/>
    <w:rsid w:val="009b744f"/>
    <w:pPr/>
    <w:rPr>
      <w:rFonts w:ascii="Times New Roman" w:hAnsi="Times New Roman" w:cs="Times New Roman"/>
      <w:sz w:val="24"/>
      <w:szCs w:val="24"/>
    </w:rPr>
  </w:style>
  <w:style w:type="numbering" w:styleId="NoList" w:default="1">
    <w:name w:val="No List"/>
    <w:uiPriority w:val="99"/>
    <w:semiHidden/>
    <w:unhideWhenUsed/>
    <w:qFormat/>
  </w:style>
  <w:style w:type="numbering" w:styleId="Numeracja123" w:customStyle="1">
    <w:name w:val="Numeracja 1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370e8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0CE9-D699-4CEB-841B-5FEF6664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Application>LibreOffice/6.4.3.2$Windows_X86_64 LibreOffice_project/747b5d0ebf89f41c860ec2a39efd7cb15b54f2d8</Application>
  <Pages>25</Pages>
  <Words>8626</Words>
  <Characters>51760</Characters>
  <CharactersWithSpaces>60266</CharactersWithSpaces>
  <Paragraphs>120</Paragraphs>
  <Company>MRiRW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2020-10-30T12:10:00Z</dcterms:created>
  <dc:creator>Emilia Goniprowska</dc:creator>
  <dc:description/>
  <dc:language>pl-PL</dc:language>
  <cp:lastModifiedBy/>
  <cp:lastPrinted>2017-12-20T11:52:00Z</cp:lastPrinted>
  <dcterms:modified xsi:type="dcterms:W3CDTF">2020-11-25T13:29:41Z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MRiRW</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