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3516C"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2017 r., </w:t>
      </w:r>
      <w:r w:rsidRPr="003B48D4">
        <w:t xml:space="preserve">poz. </w:t>
      </w:r>
      <w:r w:rsidR="0005033D">
        <w:t>1267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2018 r., poz. 140</w:t>
      </w:r>
      <w:r w:rsidR="00EB4C03">
        <w:t xml:space="preserve"> i 1625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05033D">
        <w:t>7</w:t>
      </w:r>
      <w:r w:rsidRPr="003B48D4">
        <w:t xml:space="preserve"> r. poz. </w:t>
      </w:r>
      <w:r w:rsidR="0005033D">
        <w:t>2077</w:t>
      </w:r>
      <w:r w:rsidR="00F41636">
        <w:t>, z późn.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E184C" w:rsidRDefault="00A72781" w:rsidP="004E184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7F1D46" w:rsidRPr="0061425F">
        <w:t xml:space="preserve"> w przypadku gdy do ich wyboru nie mają zastosowania przepisy </w:t>
      </w:r>
      <w:r w:rsidR="004E184C">
        <w:br/>
      </w:r>
      <w:r w:rsidR="007F1D46" w:rsidRPr="0061425F">
        <w:t>o zamówieniach publicznych</w:t>
      </w:r>
      <w:r w:rsidR="004E184C">
        <w:t>:</w:t>
      </w:r>
    </w:p>
    <w:p w:rsidR="004E184C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a) w przypadku zamówień do kwoty 20 000 zł netto – przedstawienie dwóch ofert wraz z wnioskiem o płatność,</w:t>
      </w:r>
    </w:p>
    <w:p w:rsidR="004501AD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b) w przypadku zamówień powyżej 20 000 zł netto – zastosowanie wymogów określonych w rozdziale 2 dokumentu - Zasady konkurencyjnego wyboru wykonawców w ramach Programu Operacyjnego „Rybactwo i Morze”</w:t>
      </w:r>
      <w:r w:rsidR="00B21E5E">
        <w:t>,</w:t>
      </w:r>
      <w:r w:rsidR="00B21E5E" w:rsidRPr="00B21E5E">
        <w:t xml:space="preserve"> opublikowanego na stronie internetowej administrowanej przez ministra właściwego do spraw rybołówstwa</w:t>
      </w:r>
      <w:r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del w:id="1" w:author="Kukla Wojciech" w:date="2019-08-20T13:26:00Z">
        <w:r w:rsidR="00277D63" w:rsidRPr="0061425F" w:rsidDel="000C12D0">
          <w:delText>5</w:delText>
        </w:r>
      </w:del>
      <w:ins w:id="2" w:author="Kukla Wojciech" w:date="2019-08-20T13:26:00Z">
        <w:r w:rsidR="000C12D0">
          <w:t>14</w:t>
        </w:r>
      </w:ins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EB4C03">
        <w:rPr>
          <w:rFonts w:ascii="Times New Roman" w:hAnsi="Times New Roman" w:cs="Times New Roman"/>
          <w:szCs w:val="24"/>
        </w:rPr>
        <w:t>8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EB4C03">
        <w:rPr>
          <w:rFonts w:ascii="Times New Roman" w:hAnsi="Times New Roman" w:cs="Times New Roman"/>
          <w:szCs w:val="24"/>
        </w:rPr>
        <w:t>1986</w:t>
      </w:r>
      <w:r w:rsidR="00EB4C03" w:rsidRPr="0061425F">
        <w:rPr>
          <w:rFonts w:ascii="Times New Roman" w:hAnsi="Times New Roman" w:cs="Times New Roman"/>
          <w:szCs w:val="24"/>
        </w:rPr>
        <w:t xml:space="preserve"> z</w:t>
      </w:r>
      <w:r w:rsidR="00EB4C03">
        <w:rPr>
          <w:rFonts w:ascii="Times New Roman" w:hAnsi="Times New Roman" w:cs="Times New Roman"/>
          <w:szCs w:val="24"/>
        </w:rPr>
        <w:t xml:space="preserve"> późn.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C(2013) 9527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lastRenderedPageBreak/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="0018412F" w:rsidRPr="00B15B83">
        <w:lastRenderedPageBreak/>
        <w:t>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lastRenderedPageBreak/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lastRenderedPageBreak/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6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3C" w:rsidRDefault="0018273C" w:rsidP="007B7D02">
      <w:r>
        <w:separator/>
      </w:r>
    </w:p>
  </w:endnote>
  <w:endnote w:type="continuationSeparator" w:id="0">
    <w:p w:rsidR="0018273C" w:rsidRDefault="0018273C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75C6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75C69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3C" w:rsidRDefault="0018273C" w:rsidP="007B7D02">
      <w:r>
        <w:separator/>
      </w:r>
    </w:p>
  </w:footnote>
  <w:footnote w:type="continuationSeparator" w:id="0">
    <w:p w:rsidR="0018273C" w:rsidRDefault="0018273C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273C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C69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2E23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4CE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C9674-D611-47A1-A2B0-16273AD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03DED-1C02-41BE-9C1D-BE2417E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5954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Natalia Ochędzan</cp:lastModifiedBy>
  <cp:revision>2</cp:revision>
  <cp:lastPrinted>2019-09-13T10:32:00Z</cp:lastPrinted>
  <dcterms:created xsi:type="dcterms:W3CDTF">2019-09-13T10:33:00Z</dcterms:created>
  <dcterms:modified xsi:type="dcterms:W3CDTF">2019-09-13T10:33:00Z</dcterms:modified>
</cp:coreProperties>
</file>